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B8" w:rsidRDefault="00913D63" w:rsidP="008262B8">
      <w:pPr>
        <w:spacing w:after="0"/>
        <w:rPr>
          <w:b/>
          <w:sz w:val="32"/>
          <w:szCs w:val="32"/>
        </w:rPr>
      </w:pPr>
      <w:r w:rsidRPr="00F312EE">
        <w:rPr>
          <w:b/>
          <w:sz w:val="32"/>
          <w:szCs w:val="32"/>
        </w:rPr>
        <w:t xml:space="preserve">Πρόταση </w:t>
      </w:r>
      <w:r>
        <w:rPr>
          <w:b/>
          <w:sz w:val="32"/>
          <w:szCs w:val="32"/>
        </w:rPr>
        <w:t xml:space="preserve">της ΡΑΕ για τη δημιουργία ρυθμιζόμενης προθεσμιακής αγοράς, για την πρόσβαση προμηθευτών σε ηλεκτρική ενέργεια από </w:t>
      </w:r>
      <w:proofErr w:type="spellStart"/>
      <w:r>
        <w:rPr>
          <w:b/>
          <w:sz w:val="32"/>
          <w:szCs w:val="32"/>
        </w:rPr>
        <w:t>λιγνιτική</w:t>
      </w:r>
      <w:proofErr w:type="spellEnd"/>
      <w:r>
        <w:rPr>
          <w:b/>
          <w:sz w:val="32"/>
          <w:szCs w:val="32"/>
        </w:rPr>
        <w:t xml:space="preserve"> και υδροηλεκτρική παραγωγή</w:t>
      </w:r>
      <w:r w:rsidR="008262B8" w:rsidRPr="008262B8">
        <w:rPr>
          <w:b/>
          <w:sz w:val="32"/>
          <w:szCs w:val="32"/>
        </w:rPr>
        <w:t xml:space="preserve"> </w:t>
      </w:r>
    </w:p>
    <w:p w:rsidR="00913D63" w:rsidRPr="008262B8" w:rsidRDefault="008262B8" w:rsidP="008262B8">
      <w:pPr>
        <w:ind w:right="-1"/>
        <w:jc w:val="center"/>
        <w:rPr>
          <w:b/>
        </w:rPr>
      </w:pPr>
      <w:r>
        <w:rPr>
          <w:b/>
          <w:sz w:val="32"/>
          <w:szCs w:val="32"/>
        </w:rPr>
        <w:t>Νέες ρυθμίσεις και λεπτομέρειες εφαρμογής</w:t>
      </w:r>
    </w:p>
    <w:p w:rsidR="00913D63" w:rsidRDefault="00913D63" w:rsidP="00810DF8">
      <w:pPr>
        <w:rPr>
          <w:b/>
          <w:sz w:val="32"/>
          <w:szCs w:val="32"/>
        </w:rPr>
      </w:pPr>
    </w:p>
    <w:p w:rsidR="00913D63" w:rsidRDefault="00913D63" w:rsidP="00810DF8">
      <w:pPr>
        <w:jc w:val="right"/>
        <w:rPr>
          <w:b/>
        </w:rPr>
      </w:pPr>
      <w:r>
        <w:rPr>
          <w:b/>
        </w:rPr>
        <w:t xml:space="preserve">Αύγουστος </w:t>
      </w:r>
      <w:r w:rsidRPr="00F312EE">
        <w:rPr>
          <w:b/>
        </w:rPr>
        <w:t>2014</w:t>
      </w:r>
    </w:p>
    <w:p w:rsidR="00913D63" w:rsidRDefault="00913D63" w:rsidP="00727E46">
      <w:pPr>
        <w:tabs>
          <w:tab w:val="left" w:pos="360"/>
        </w:tabs>
        <w:spacing w:after="360"/>
        <w:ind w:left="357" w:hanging="357"/>
        <w:rPr>
          <w:b/>
          <w:u w:val="single"/>
        </w:rPr>
      </w:pPr>
      <w:r w:rsidRPr="00262561">
        <w:rPr>
          <w:b/>
        </w:rPr>
        <w:t>Α]</w:t>
      </w:r>
      <w:r>
        <w:rPr>
          <w:b/>
        </w:rPr>
        <w:tab/>
      </w:r>
      <w:r>
        <w:rPr>
          <w:b/>
          <w:u w:val="single"/>
        </w:rPr>
        <w:t>Εισαγωγή</w:t>
      </w:r>
    </w:p>
    <w:p w:rsidR="00913D63" w:rsidRDefault="00913D63" w:rsidP="00810DF8">
      <w:pPr>
        <w:spacing w:after="200" w:line="276" w:lineRule="auto"/>
      </w:pPr>
      <w:r w:rsidRPr="00FD1712">
        <w:t xml:space="preserve">Η εφαρμογή του </w:t>
      </w:r>
      <w:r>
        <w:t>κατωτέρω προτεινόμενου σχεδιασμού</w:t>
      </w:r>
      <w:r w:rsidRPr="00FD1712">
        <w:t xml:space="preserve"> </w:t>
      </w:r>
      <w:r>
        <w:t>αποτελεί ουσιαστική και αυστηρά</w:t>
      </w:r>
      <w:r w:rsidRPr="00FD1712">
        <w:t xml:space="preserve"> </w:t>
      </w:r>
      <w:r>
        <w:t>ρυθμιστική παρέμβαση</w:t>
      </w:r>
      <w:r w:rsidRPr="00FD1712">
        <w:t xml:space="preserve">, ιδίως σε σχέση με </w:t>
      </w:r>
      <w:r>
        <w:t>την επίδραση που αναμένεται να επιφέρει σ</w:t>
      </w:r>
      <w:r w:rsidRPr="00FD1712">
        <w:t>το επίπεδο</w:t>
      </w:r>
      <w:r>
        <w:t xml:space="preserve"> των τιμολογίων των καταναλωτών</w:t>
      </w:r>
      <w:r w:rsidRPr="00FD1712">
        <w:t xml:space="preserve">. </w:t>
      </w:r>
      <w:r>
        <w:t xml:space="preserve">Η </w:t>
      </w:r>
      <w:r w:rsidRPr="00FD1712">
        <w:t>παρέμβαση αυτ</w:t>
      </w:r>
      <w:r>
        <w:t>ή</w:t>
      </w:r>
      <w:r w:rsidRPr="00FD1712">
        <w:t xml:space="preserve"> </w:t>
      </w:r>
      <w:r>
        <w:t xml:space="preserve">κρίνεται απαραίτητη, τουλάχιστον σε ένα αρχικό στάδιο, λόγω του γεγονότος ότι η γενικότερη δομή και οργάνωση της εγχώριας αγοράς ηλεκτρικής ενέργειας αδυνατεί, επί του παρόντος, να δημιουργήσει τις κατάλληλες συνθήκες για την ανάπτυξη ικανού και ισότιμου ανταγωνισμού, ιδίως σε επίπεδο λιανικής αγοράς, καθώς και να </w:t>
      </w:r>
      <w:proofErr w:type="spellStart"/>
      <w:r>
        <w:t>παρέξει</w:t>
      </w:r>
      <w:proofErr w:type="spellEnd"/>
      <w:r>
        <w:t xml:space="preserve"> επαρκή εργαλεία και μέσα στους συμμετέχοντες, για τη διαχείριση του κινδύνου στην αγορά αυτή και την εφαρμογή σταθερών επιχειρηματικών σχεδίων. Η σταδιακή ανάπτυξη του ανταγωνισμού, μέσω της ανάπτυξης επιμέρους αγορών και μηχανισμών που θα λειτουργούν με όρους αγοράς, θα </w:t>
      </w:r>
      <w:r w:rsidRPr="00F9748B">
        <w:t xml:space="preserve">επιτρέψει </w:t>
      </w:r>
      <w:r>
        <w:t>τελικά</w:t>
      </w:r>
      <w:r w:rsidRPr="00F9748B">
        <w:t xml:space="preserve"> τη σταδιακή κατάργηση των ρυθμιστικών παρεμβάσεων, ιδιαίτερα εκείνων που σχετίζονται με το επίπεδο των </w:t>
      </w:r>
      <w:r>
        <w:t>τιμολογίων των τελικών καταναλωτών</w:t>
      </w:r>
      <w:r w:rsidRPr="00F9748B">
        <w:t>.</w:t>
      </w:r>
      <w:r>
        <w:t xml:space="preserve"> </w:t>
      </w:r>
      <w:r w:rsidRPr="00F9748B">
        <w:t xml:space="preserve">Αναμένεται ότι κάποιο είδος </w:t>
      </w:r>
      <w:r>
        <w:t>ρύθμισης</w:t>
      </w:r>
      <w:r w:rsidRPr="00F9748B">
        <w:t xml:space="preserve"> θα εξακολουθήσει </w:t>
      </w:r>
      <w:r>
        <w:t>πιθανόν</w:t>
      </w:r>
      <w:r w:rsidRPr="00F9748B">
        <w:t xml:space="preserve"> να απαιτείται, αλλά μόνο για τη βελτίωση της ρευστότητας της αγοράς και ως μέ</w:t>
      </w:r>
      <w:r>
        <w:t>σο</w:t>
      </w:r>
      <w:r w:rsidRPr="00F9748B">
        <w:t xml:space="preserve"> </w:t>
      </w:r>
      <w:r>
        <w:t>αντιμετώπισης</w:t>
      </w:r>
      <w:r w:rsidRPr="00F9748B">
        <w:t xml:space="preserve"> </w:t>
      </w:r>
      <w:r>
        <w:t>της όποιας μονοπωλιακής κατάστασης</w:t>
      </w:r>
      <w:r w:rsidRPr="00F9748B">
        <w:t xml:space="preserve">. </w:t>
      </w:r>
      <w:r>
        <w:t xml:space="preserve">Σε βάθος χρόνου, και </w:t>
      </w:r>
      <w:r w:rsidRPr="0067288F">
        <w:t>λαμβάνοντας υπ</w:t>
      </w:r>
      <w:r>
        <w:t xml:space="preserve">’ </w:t>
      </w:r>
      <w:r w:rsidRPr="0067288F">
        <w:t>όψη την πιθανή α</w:t>
      </w:r>
      <w:r>
        <w:t>πόσυρση</w:t>
      </w:r>
      <w:r w:rsidRPr="0067288F">
        <w:t xml:space="preserve"> </w:t>
      </w:r>
      <w:r>
        <w:t xml:space="preserve">ορισμένων </w:t>
      </w:r>
      <w:proofErr w:type="spellStart"/>
      <w:r>
        <w:t>λιγνιτικών</w:t>
      </w:r>
      <w:proofErr w:type="spellEnd"/>
      <w:r>
        <w:t xml:space="preserve"> </w:t>
      </w:r>
      <w:r w:rsidRPr="00F20A75">
        <w:t>μονάδων</w:t>
      </w:r>
      <w:r>
        <w:t>, καθώς και</w:t>
      </w:r>
      <w:r w:rsidRPr="0067288F">
        <w:t xml:space="preserve"> τις </w:t>
      </w:r>
      <w:r>
        <w:t xml:space="preserve">αναμενόμενες </w:t>
      </w:r>
      <w:r w:rsidRPr="0067288F">
        <w:t>εξελίξεις στ</w:t>
      </w:r>
      <w:r>
        <w:t>ην</w:t>
      </w:r>
      <w:r w:rsidRPr="0067288F">
        <w:t xml:space="preserve"> αγορ</w:t>
      </w:r>
      <w:r>
        <w:t>ά</w:t>
      </w:r>
      <w:r w:rsidRPr="0067288F">
        <w:t xml:space="preserve"> φυσικού αερίου και </w:t>
      </w:r>
      <w:r>
        <w:t xml:space="preserve">την αγορά δικαιωμάτων εκπομπών </w:t>
      </w:r>
      <w:r w:rsidRPr="0067288F">
        <w:t>CO</w:t>
      </w:r>
      <w:r w:rsidRPr="00F20A75">
        <w:rPr>
          <w:vertAlign w:val="subscript"/>
        </w:rPr>
        <w:t>2</w:t>
      </w:r>
      <w:r w:rsidRPr="0067288F">
        <w:t xml:space="preserve">, </w:t>
      </w:r>
      <w:r>
        <w:t>η ανάγκη για ρυθμιστική παρέμβαση θα καθίσταται ολοένα και πιο περιορισμένη, έως και μηδενική.</w:t>
      </w:r>
    </w:p>
    <w:p w:rsidR="00913D63" w:rsidRDefault="00913D63" w:rsidP="00810DF8">
      <w:pPr>
        <w:spacing w:after="200" w:line="276" w:lineRule="auto"/>
      </w:pPr>
      <w:r>
        <w:t>Στο πλαίσιο αυτό, ο προτεινόμενος από τη ΡΑΕ σχεδιασμός διακρίνεται σε τρεις (3) φάσεις εφαρμογής</w:t>
      </w:r>
      <w:r w:rsidRPr="007E583B">
        <w:t>:</w:t>
      </w:r>
      <w:r>
        <w:t xml:space="preserve"> </w:t>
      </w:r>
    </w:p>
    <w:p w:rsidR="00913D63" w:rsidRPr="00182663" w:rsidRDefault="00913D63" w:rsidP="00BC4DB8">
      <w:pPr>
        <w:keepNext/>
        <w:tabs>
          <w:tab w:val="left" w:pos="0"/>
        </w:tabs>
        <w:spacing w:line="276" w:lineRule="auto"/>
      </w:pPr>
      <w:r w:rsidRPr="00A5120E">
        <w:rPr>
          <w:b/>
          <w:u w:val="single"/>
        </w:rPr>
        <w:t>Φάση Α</w:t>
      </w:r>
      <w:r>
        <w:t>’: Α</w:t>
      </w:r>
      <w:r w:rsidRPr="004066C9">
        <w:t xml:space="preserve">φορά τη διάθεση προθεσμιακών προϊόντων </w:t>
      </w:r>
      <w:r w:rsidRPr="00BC4DB8">
        <w:rPr>
          <w:b/>
        </w:rPr>
        <w:t>μέσω διαδικασίας δημοπράτησης με ρυθμιστικά καθοριζόμενη τιμή εκκίνησης</w:t>
      </w:r>
      <w:r w:rsidRPr="004066C9">
        <w:t xml:space="preserve">. </w:t>
      </w:r>
      <w:r w:rsidRPr="00182663">
        <w:t xml:space="preserve">Μέσω των ρυθμιζόμενων δημοπρασιών θα διατίθενται στους ανεξάρτητους προμηθευτές πακέτα ενέργειας (που αντιστοιχούν σε </w:t>
      </w:r>
      <w:proofErr w:type="spellStart"/>
      <w:r w:rsidRPr="00182663">
        <w:t>λιγνιτική</w:t>
      </w:r>
      <w:proofErr w:type="spellEnd"/>
      <w:r w:rsidRPr="00182663">
        <w:t xml:space="preserve"> και υδροηλεκτρική παραγωγή) για την κάλυψη των αναγκών των πελατών </w:t>
      </w:r>
      <w:r>
        <w:t xml:space="preserve">τους. Τα δικαιώματα χρήσης των σχετικών προϊόντων από τους ανεξάρτητους προμηθευτές είναι ρυθμιζόμενα και </w:t>
      </w:r>
      <w:r w:rsidRPr="00182663">
        <w:t xml:space="preserve">υπολογίζονται βάσει του φορτίου </w:t>
      </w:r>
      <w:r>
        <w:t xml:space="preserve">των πελατών </w:t>
      </w:r>
      <w:r w:rsidRPr="00182663">
        <w:t>τους σε ώρες μη αιχμής (προϊόντα βάσης).</w:t>
      </w:r>
    </w:p>
    <w:p w:rsidR="00913D63" w:rsidRPr="008B013B" w:rsidRDefault="00913D63" w:rsidP="00BC4DB8">
      <w:pPr>
        <w:spacing w:after="200" w:line="276" w:lineRule="auto"/>
      </w:pPr>
      <w:r w:rsidRPr="00A5120E">
        <w:rPr>
          <w:b/>
          <w:u w:val="single"/>
        </w:rPr>
        <w:t>Φάση Β’</w:t>
      </w:r>
      <w:r>
        <w:t xml:space="preserve">: Σε αυτή τη φάση, </w:t>
      </w:r>
      <w:r w:rsidRPr="00C32697">
        <w:t xml:space="preserve">προϊόντα </w:t>
      </w:r>
      <w:r>
        <w:t xml:space="preserve">αντίστοιχα με αυτά της προτεινόμενης προθεσμιακής αγοράς, </w:t>
      </w:r>
      <w:r w:rsidRPr="00C32697">
        <w:t xml:space="preserve">ή </w:t>
      </w:r>
      <w:r>
        <w:t>άλλων αντίστοιχων μηχανισμών</w:t>
      </w:r>
      <w:r>
        <w:rPr>
          <w:rStyle w:val="ac"/>
        </w:rPr>
        <w:footnoteReference w:id="1"/>
      </w:r>
      <w:r>
        <w:t>,</w:t>
      </w:r>
      <w:r w:rsidRPr="00C32697">
        <w:t xml:space="preserve"> </w:t>
      </w:r>
      <w:r>
        <w:t xml:space="preserve">είναι δυνατό να χρησιμοποιηθούν για </w:t>
      </w:r>
      <w:r w:rsidRPr="00C32697">
        <w:t xml:space="preserve">τον </w:t>
      </w:r>
      <w:r>
        <w:t xml:space="preserve">περαιτέρω </w:t>
      </w:r>
      <w:r w:rsidRPr="00C32697">
        <w:t xml:space="preserve">περιορισμό </w:t>
      </w:r>
      <w:r>
        <w:t>της θέσης ισχύος στην αγορά (</w:t>
      </w:r>
      <w:r w:rsidRPr="00922152">
        <w:rPr>
          <w:lang w:val="en-US"/>
        </w:rPr>
        <w:t>market</w:t>
      </w:r>
      <w:r w:rsidRPr="00DA2CA6">
        <w:t xml:space="preserve"> </w:t>
      </w:r>
      <w:r w:rsidRPr="00922152">
        <w:rPr>
          <w:lang w:val="en-US"/>
        </w:rPr>
        <w:t>power</w:t>
      </w:r>
      <w:r w:rsidRPr="00DA2CA6">
        <w:t xml:space="preserve">) </w:t>
      </w:r>
      <w:r>
        <w:t xml:space="preserve">των παραγωγών με </w:t>
      </w:r>
      <w:proofErr w:type="spellStart"/>
      <w:r>
        <w:t>λιγνιτικούς</w:t>
      </w:r>
      <w:proofErr w:type="spellEnd"/>
      <w:r>
        <w:t xml:space="preserve"> και </w:t>
      </w:r>
      <w:r w:rsidRPr="00C32697">
        <w:t>υδροηλεκτρικ</w:t>
      </w:r>
      <w:r>
        <w:t xml:space="preserve">ούς σταθμούς, με βασικό σκοπό την αύξηση της ρευστότητας και της συμμετοχής κατά το δυνατόν περισσοτέρων συμμετεχόντων. Στη Φάση Β’ εκτιμάται ότι δεν </w:t>
      </w:r>
      <w:r>
        <w:lastRenderedPageBreak/>
        <w:t xml:space="preserve">θα είναι επιβεβλημένη η ρυθμιστική παρέμβαση, με όποια μορφή αυτή τελικά επιλεγεί να εφαρμοστεί, ειδικά όσον αφορά το επίπεδο </w:t>
      </w:r>
      <w:r w:rsidRPr="00C32697">
        <w:t xml:space="preserve">των </w:t>
      </w:r>
      <w:r>
        <w:t>τιμών αγοράς των σχετικών προϊόντων, καθώς η αγορά θα έχει αποκτήσει σχετική εμπειρία</w:t>
      </w:r>
      <w:r w:rsidRPr="00C32697">
        <w:t xml:space="preserve">. </w:t>
      </w:r>
      <w:r>
        <w:t>Συνεπώς, η ρυθμιστική παρέμβαση θα είναι περιορισμένη, χωρίς βέβαια να αποκλείεται η εκ των υστέρων παρέμβαση για λόγους περιορισμού ενδεχόμενων τακτικών κ</w:t>
      </w:r>
      <w:r w:rsidRPr="00C32697">
        <w:t>ατάχρηση</w:t>
      </w:r>
      <w:r>
        <w:t>ς</w:t>
      </w:r>
      <w:r w:rsidRPr="00C32697">
        <w:t xml:space="preserve"> δεσπόζουσας θέσης ή εναρμονισμέν</w:t>
      </w:r>
      <w:r>
        <w:t>ων πρακτικών. Για την εκκίνηση της φάσης αυτής, απαιτείται να έχει παρατηρηθεί μια σχετική ισορροπία στην αγορά λιανικής και να υπάρχουν σαφείς ενδείξεις ότι οι προσφερόμενες τιμές στους καταναλωτές διαμορφώνονται σε ανταγωνιστικό περιβάλλον, όπου κάθε κατηγορία καταναλωτή μπορεί να ικανοποιεί επαρκώς τις προτιμήσεις της. Συμπερασματικά, α</w:t>
      </w:r>
      <w:r w:rsidRPr="008B013B">
        <w:t xml:space="preserve">νάλογα με </w:t>
      </w:r>
      <w:r>
        <w:t>το βαθμό</w:t>
      </w:r>
      <w:r w:rsidRPr="008B013B">
        <w:t xml:space="preserve"> συγκέντρωση</w:t>
      </w:r>
      <w:r>
        <w:t>ς</w:t>
      </w:r>
      <w:r w:rsidRPr="008B013B">
        <w:t xml:space="preserve"> της αγοράς, </w:t>
      </w:r>
      <w:r>
        <w:t xml:space="preserve">θα μπορούσε και σε αυτή τη φάση </w:t>
      </w:r>
      <w:r w:rsidRPr="008B013B">
        <w:t xml:space="preserve">να </w:t>
      </w:r>
      <w:r>
        <w:t>εξακολουθήσει</w:t>
      </w:r>
      <w:r w:rsidRPr="008B013B">
        <w:t xml:space="preserve"> </w:t>
      </w:r>
      <w:r>
        <w:t>η</w:t>
      </w:r>
      <w:r w:rsidRPr="008B013B">
        <w:t xml:space="preserve"> </w:t>
      </w:r>
      <w:r>
        <w:t xml:space="preserve">ρυθμιζόμενη πρόσβαση προμηθευτών σε προθεσμιακά προϊόντα που σχετίζονται με </w:t>
      </w:r>
      <w:proofErr w:type="spellStart"/>
      <w:r>
        <w:t>λιγνιτική</w:t>
      </w:r>
      <w:proofErr w:type="spellEnd"/>
      <w:r>
        <w:t xml:space="preserve"> και υδροηλεκτρική ηλεκτροπαραγωγή, </w:t>
      </w:r>
      <w:r w:rsidRPr="008B013B">
        <w:t xml:space="preserve">αλλά μόνο </w:t>
      </w:r>
      <w:r>
        <w:t>με στόχο τη μείωση της δεσπόζουσας θέσης των κυρίαρχων</w:t>
      </w:r>
      <w:r w:rsidRPr="008B013B">
        <w:t xml:space="preserve"> συμμετεχόντων.</w:t>
      </w:r>
    </w:p>
    <w:p w:rsidR="00913D63" w:rsidRDefault="00913D63" w:rsidP="00BA2CFE">
      <w:pPr>
        <w:spacing w:after="200" w:line="276" w:lineRule="auto"/>
      </w:pPr>
      <w:r w:rsidRPr="00A5120E">
        <w:rPr>
          <w:b/>
          <w:u w:val="single"/>
        </w:rPr>
        <w:t>Τελική Φάση</w:t>
      </w:r>
      <w:r>
        <w:t>: Καταργούνται οι ρυθμιστικές παρεμβάσεις που ισχύουν στη Φάση Β’. Α</w:t>
      </w:r>
      <w:r w:rsidRPr="008E5AE9">
        <w:t>νάλογα με το επίπεδο του ανταγωνισμού</w:t>
      </w:r>
      <w:r>
        <w:t xml:space="preserve"> που έχει επιτευχθεί στην αγορά</w:t>
      </w:r>
      <w:r w:rsidRPr="008E5AE9">
        <w:t xml:space="preserve">, </w:t>
      </w:r>
      <w:r>
        <w:t>εναλλακτικά συμπληρωματικά</w:t>
      </w:r>
      <w:r w:rsidRPr="008E5AE9">
        <w:t xml:space="preserve"> μέτρα </w:t>
      </w:r>
      <w:r>
        <w:t>πιθανώς να είναι αναγκαία.</w:t>
      </w:r>
    </w:p>
    <w:p w:rsidR="00913D63" w:rsidRPr="009509EF" w:rsidRDefault="00913D63" w:rsidP="00BC4DB8">
      <w:pPr>
        <w:keepNext/>
        <w:tabs>
          <w:tab w:val="left" w:pos="360"/>
        </w:tabs>
        <w:ind w:left="360" w:hanging="360"/>
        <w:rPr>
          <w:b/>
          <w:u w:val="single"/>
        </w:rPr>
      </w:pPr>
      <w:r w:rsidRPr="00262561">
        <w:rPr>
          <w:b/>
        </w:rPr>
        <w:t xml:space="preserve">Β] </w:t>
      </w:r>
      <w:r>
        <w:rPr>
          <w:b/>
        </w:rPr>
        <w:tab/>
      </w:r>
      <w:r>
        <w:rPr>
          <w:b/>
          <w:u w:val="single"/>
        </w:rPr>
        <w:t xml:space="preserve">Λεπτομέρειες </w:t>
      </w:r>
      <w:r w:rsidRPr="009509EF">
        <w:rPr>
          <w:b/>
          <w:u w:val="single"/>
        </w:rPr>
        <w:t xml:space="preserve">εφαρμογής </w:t>
      </w:r>
      <w:r>
        <w:rPr>
          <w:b/>
          <w:u w:val="single"/>
        </w:rPr>
        <w:t>της Α’ Φάσης</w:t>
      </w:r>
    </w:p>
    <w:p w:rsidR="00913D63" w:rsidRPr="00F8320D" w:rsidRDefault="00913D63" w:rsidP="00182663">
      <w:pPr>
        <w:numPr>
          <w:ilvl w:val="0"/>
          <w:numId w:val="1"/>
        </w:numPr>
        <w:spacing w:after="200" w:line="276" w:lineRule="auto"/>
        <w:ind w:left="357" w:hanging="357"/>
      </w:pPr>
      <w:r w:rsidRPr="00F8320D">
        <w:rPr>
          <w:b/>
        </w:rPr>
        <w:t>Χαρακτηριστικά του προτεινόμενου ρυθμιστικού πλαισίου:</w:t>
      </w:r>
      <w:r w:rsidRPr="00F8320D">
        <w:t xml:space="preserve"> Το προτεινόμενο ρυθμιστικό πλαίσιο αφορά τη διαχείριση κόστους για την κάλυψη φορτίου βάσης (</w:t>
      </w:r>
      <w:proofErr w:type="spellStart"/>
      <w:r w:rsidRPr="00F8320D">
        <w:t>baseload</w:t>
      </w:r>
      <w:proofErr w:type="spellEnd"/>
      <w:r w:rsidRPr="00F8320D">
        <w:t xml:space="preserve">) των καταναλωτών. </w:t>
      </w:r>
      <w:r>
        <w:t xml:space="preserve">Διευκρινίζεται ότι τα προϊόντα είναι «εικονικά», δηλαδή </w:t>
      </w:r>
      <w:r w:rsidRPr="00AA51EB">
        <w:t xml:space="preserve">δεν συνδέονται με συγκεκριμένες μονάδες, και η ενεργοποίησή τους δεν σχετίζεται με την πραγματική λειτουργία </w:t>
      </w:r>
      <w:proofErr w:type="spellStart"/>
      <w:r w:rsidRPr="00AA51EB">
        <w:t>λιγνιτικών</w:t>
      </w:r>
      <w:proofErr w:type="spellEnd"/>
      <w:r w:rsidRPr="00AA51EB">
        <w:t xml:space="preserve"> ή υδροηλεκτρικών μονάδων. </w:t>
      </w:r>
      <w:r w:rsidRPr="00AA51EB">
        <w:rPr>
          <w:rStyle w:val="ae"/>
          <w:i w:val="0"/>
        </w:rPr>
        <w:t xml:space="preserve">Οι υπόχρεοι παραγωγοί εξακολουθούν να εντάσσουν τις μονάδες τους σύμφωνα με τις οδηγίες του ΑΔΜΗΕ για την κάλυψη του φορτίου του Συστήματος, </w:t>
      </w:r>
      <w:r>
        <w:rPr>
          <w:rStyle w:val="ae"/>
          <w:i w:val="0"/>
        </w:rPr>
        <w:t>κατά τα προβλεπόμενα σ</w:t>
      </w:r>
      <w:r w:rsidRPr="00AA51EB">
        <w:rPr>
          <w:rStyle w:val="ae"/>
          <w:i w:val="0"/>
        </w:rPr>
        <w:t>τους υφιστάμενους κανόνες της αγοράς</w:t>
      </w:r>
      <w:r>
        <w:t xml:space="preserve">. Οι παραγωγοί–λειτουργοί των </w:t>
      </w:r>
      <w:proofErr w:type="spellStart"/>
      <w:r>
        <w:t>λιγνιτικών</w:t>
      </w:r>
      <w:proofErr w:type="spellEnd"/>
      <w:r>
        <w:t xml:space="preserve"> και υδροηλεκτρικών μονάδων υποχρεώνονται </w:t>
      </w:r>
      <w:r w:rsidRPr="00F8320D">
        <w:t xml:space="preserve">να </w:t>
      </w:r>
      <w:r>
        <w:t xml:space="preserve">αποδεχθούν τις οικονομικές συναλλαγές που προκύπτουν από τη διάθεση προθεσμιακών προϊόντων που αντιστοιχούν σε </w:t>
      </w:r>
      <w:proofErr w:type="spellStart"/>
      <w:r>
        <w:t>λιγνιτική</w:t>
      </w:r>
      <w:proofErr w:type="spellEnd"/>
      <w:r>
        <w:t xml:space="preserve"> και υδροηλεκτρική παραγωγή</w:t>
      </w:r>
      <w:r w:rsidRPr="00F8320D">
        <w:t xml:space="preserve">. Τα </w:t>
      </w:r>
      <w:r>
        <w:t>προθεσμιακά προϊόντα</w:t>
      </w:r>
      <w:r w:rsidRPr="00F8320D">
        <w:t xml:space="preserve"> θα έχουν κατάλληλη διάρκεια</w:t>
      </w:r>
      <w:r>
        <w:t>,</w:t>
      </w:r>
      <w:r w:rsidRPr="00F8320D">
        <w:t xml:space="preserve"> ώστε με τη χρήση αυτών</w:t>
      </w:r>
      <w:r>
        <w:t>,</w:t>
      </w:r>
      <w:r w:rsidRPr="00F8320D">
        <w:t xml:space="preserve"> </w:t>
      </w:r>
      <w:r>
        <w:t xml:space="preserve">αφ’ ενός </w:t>
      </w:r>
      <w:r w:rsidRPr="00F8320D">
        <w:t>να εξασφαλισθεί η σταθερή διείσδυση των προμηθευτών στην αγορά λιανικής</w:t>
      </w:r>
      <w:r>
        <w:t>, αφ’ ετέρου να δίνεται η ευχέρεια προσαρμογής στις τρέχουσες κάθε φορά συνθήκες της λιανικής αγοράς, και ιδίως της δυνατότητας μετακίνησης καταναλωτών μεταξύ των προμηθευτών</w:t>
      </w:r>
      <w:r w:rsidRPr="00F8320D">
        <w:t xml:space="preserve">. </w:t>
      </w:r>
      <w:r w:rsidRPr="00182663">
        <w:t>Προβλέπεται</w:t>
      </w:r>
      <w:r>
        <w:t>,</w:t>
      </w:r>
      <w:r w:rsidRPr="00182663">
        <w:t xml:space="preserve"> </w:t>
      </w:r>
      <w:r>
        <w:t>επίσης,</w:t>
      </w:r>
      <w:r w:rsidRPr="00182663">
        <w:t xml:space="preserve"> χρήση μηχανισμών μεταφοράς, επιστροφής και </w:t>
      </w:r>
      <w:r>
        <w:t>επαναγοράς</w:t>
      </w:r>
      <w:r w:rsidRPr="00182663">
        <w:t xml:space="preserve"> των προϊόντων από τους προμηθευτές</w:t>
      </w:r>
      <w:r>
        <w:t>,</w:t>
      </w:r>
      <w:r w:rsidRPr="00182663">
        <w:t xml:space="preserve"> ώστε να παρέχεται </w:t>
      </w:r>
      <w:r>
        <w:t>η</w:t>
      </w:r>
      <w:r w:rsidRPr="00182663">
        <w:t xml:space="preserve"> δυνατότητα καλύτερης διαχείρισης του προφίλ των καταναλωτών</w:t>
      </w:r>
      <w:r w:rsidRPr="006B24FF">
        <w:t>/</w:t>
      </w:r>
      <w:r>
        <w:t>πελατών τους</w:t>
      </w:r>
      <w:r w:rsidRPr="00182663">
        <w:t>.</w:t>
      </w:r>
      <w:r w:rsidRPr="00F8320D">
        <w:t xml:space="preserve"> Οι προμηθευτές</w:t>
      </w:r>
      <w:r>
        <w:t>,</w:t>
      </w:r>
      <w:r w:rsidRPr="00F8320D">
        <w:t xml:space="preserve"> οι οποίοι θα </w:t>
      </w:r>
      <w:r>
        <w:t xml:space="preserve">αποκτούν δικαιώματα χρήσης των ρυθμιζόμενων προθεσμιακών προϊόντων, </w:t>
      </w:r>
      <w:r w:rsidRPr="00F8320D">
        <w:t xml:space="preserve">αναμένεται </w:t>
      </w:r>
      <w:r>
        <w:t xml:space="preserve">ότι θα </w:t>
      </w:r>
      <w:proofErr w:type="spellStart"/>
      <w:r w:rsidRPr="00F8320D">
        <w:t>μετακυλ</w:t>
      </w:r>
      <w:r w:rsidR="00A27B50">
        <w:t>ί</w:t>
      </w:r>
      <w:r w:rsidRPr="00F8320D">
        <w:t>ουν</w:t>
      </w:r>
      <w:proofErr w:type="spellEnd"/>
      <w:r w:rsidRPr="00F8320D">
        <w:t xml:space="preserve"> το οικονομικό όφελος που προκύπτει από τη χρήση τους στους εγχώριους πελάτες λιανικής</w:t>
      </w:r>
      <w:r>
        <w:t>,</w:t>
      </w:r>
      <w:r w:rsidRPr="00F8320D">
        <w:t xml:space="preserve"> στη βάση του προφίλ κατανάλωσης της κάθε κατηγορίας καταναλωτή</w:t>
      </w:r>
      <w:r>
        <w:t>, λαμβάνοντας υπ’ όψη την υφιστάμενη κατάσταση, όσον αφορά το επίπεδο των τιμολογίων λιανικής κάθε πελάτη και τις συνθήκες ανταγωνισμού που θα δημιουργηθούν μεταξύ των προμηθευτών</w:t>
      </w:r>
      <w:r w:rsidRPr="00F8320D">
        <w:t>.</w:t>
      </w:r>
      <w:r>
        <w:t xml:space="preserve"> Υπενθυμίζεται ότι η χρήση των προϊόντων μπορεί να γίνει μόνο στη βάση λιανικών πωλήσεων, επομένως κάθε προμηθευτής θα πρέπει να παραμένει ανταγωνιστικός προκειμένου να μπορεί να εξασκήσει τα δικαιώματά του, όπως αυτά προκύπτουν από το προφίλ των πελατών του. Εφ</w:t>
      </w:r>
      <w:r w:rsidR="00A27B50">
        <w:t xml:space="preserve">’ </w:t>
      </w:r>
      <w:r>
        <w:t xml:space="preserve">όσον όλοι οι προμηθευτές θα έχουν πρόσβαση στα προϊόντα αυτά, αναμένεται ότι, λόγω του </w:t>
      </w:r>
      <w:r w:rsidRPr="00A65041">
        <w:t>ανταγωνισμού που θα δημιουργηθεί τόσο μεταξύ των νέων προμηθευτών και της ΔΕΗ όσο</w:t>
      </w:r>
      <w:r>
        <w:t xml:space="preserve"> </w:t>
      </w:r>
      <w:r>
        <w:lastRenderedPageBreak/>
        <w:t xml:space="preserve">και των ανεξάρτητων προμηθευτών μεταξύ τους, πρακτικά θα εκλείψουν οι περιπτώσεις όπου θα είναι δυνατή η αποκόμιση υπερκέρδους από τη χρήση των προϊόντων αυτών.  </w:t>
      </w:r>
      <w:r w:rsidRPr="00F8320D">
        <w:t xml:space="preserve"> </w:t>
      </w:r>
    </w:p>
    <w:p w:rsidR="00913D63" w:rsidRPr="00745F95" w:rsidRDefault="00913D63" w:rsidP="00992216">
      <w:pPr>
        <w:numPr>
          <w:ilvl w:val="0"/>
          <w:numId w:val="1"/>
        </w:numPr>
        <w:spacing w:after="200" w:line="276" w:lineRule="auto"/>
      </w:pPr>
      <w:r w:rsidRPr="004066C9">
        <w:rPr>
          <w:b/>
        </w:rPr>
        <w:t>Συνολική ποσότητα τ</w:t>
      </w:r>
      <w:r>
        <w:rPr>
          <w:b/>
        </w:rPr>
        <w:t xml:space="preserve">ων </w:t>
      </w:r>
      <w:r w:rsidRPr="004066C9">
        <w:rPr>
          <w:b/>
        </w:rPr>
        <w:t>προθεσμιακ</w:t>
      </w:r>
      <w:r>
        <w:rPr>
          <w:b/>
        </w:rPr>
        <w:t>ών</w:t>
      </w:r>
      <w:r w:rsidRPr="004066C9">
        <w:rPr>
          <w:b/>
        </w:rPr>
        <w:t xml:space="preserve"> </w:t>
      </w:r>
      <w:r w:rsidRPr="00A707FC">
        <w:rPr>
          <w:b/>
        </w:rPr>
        <w:t>προϊόντ</w:t>
      </w:r>
      <w:r>
        <w:rPr>
          <w:b/>
        </w:rPr>
        <w:t>ων</w:t>
      </w:r>
      <w:r w:rsidRPr="00A707FC">
        <w:rPr>
          <w:b/>
        </w:rPr>
        <w:t>:</w:t>
      </w:r>
      <w:r w:rsidRPr="00A707FC">
        <w:t xml:space="preserve"> Τα οικονομικά προϊόντα που θα διατεθούν θα αφορούν συνολικά το </w:t>
      </w:r>
      <w:r w:rsidRPr="00727E46">
        <w:t>30-35</w:t>
      </w:r>
      <w:r w:rsidRPr="00A707FC">
        <w:t>% της</w:t>
      </w:r>
      <w:r w:rsidRPr="004066C9">
        <w:t xml:space="preserve"> ετήσιας </w:t>
      </w:r>
      <w:proofErr w:type="spellStart"/>
      <w:r w:rsidRPr="004066C9">
        <w:t>λιγνιτικής</w:t>
      </w:r>
      <w:proofErr w:type="spellEnd"/>
      <w:r w:rsidRPr="004066C9">
        <w:t xml:space="preserve"> και υδροηλεκτρικής παραγωγής.</w:t>
      </w:r>
      <w:r w:rsidRPr="004066C9">
        <w:rPr>
          <w:rStyle w:val="ac"/>
        </w:rPr>
        <w:footnoteReference w:id="2"/>
      </w:r>
      <w:r w:rsidRPr="004066C9">
        <w:t xml:space="preserve"> Το ποσοστό αυτό </w:t>
      </w:r>
      <w:r>
        <w:t>εκτιμ</w:t>
      </w:r>
      <w:r w:rsidR="00A27B50">
        <w:t>άται</w:t>
      </w:r>
      <w:r w:rsidRPr="004066C9">
        <w:t xml:space="preserve"> ότι είναι επαρκές</w:t>
      </w:r>
      <w:r>
        <w:t>,</w:t>
      </w:r>
      <w:r w:rsidRPr="004066C9">
        <w:t xml:space="preserve"> ώστε οι ανεξάρτητοι προμηθευτές να είναι</w:t>
      </w:r>
      <w:r w:rsidRPr="00AA51EB">
        <w:t xml:space="preserve"> σε θέση να αναπτύξουν ένα </w:t>
      </w:r>
      <w:r>
        <w:t>«</w:t>
      </w:r>
      <w:r w:rsidRPr="00AA51EB">
        <w:t>μίγμα καυσίμων</w:t>
      </w:r>
      <w:r>
        <w:t>»</w:t>
      </w:r>
      <w:r w:rsidRPr="00AA51EB">
        <w:t xml:space="preserve"> αντίστοιχου μέσου κόστους ενέργειας με αυτό τ</w:t>
      </w:r>
      <w:r w:rsidR="00A27B50">
        <w:t>ου κυρίαρχου παίκτη της αγοράς</w:t>
      </w:r>
      <w:r w:rsidRPr="00AA51EB">
        <w:t>, δίνοντάς τους τη δυνατότητα να τ</w:t>
      </w:r>
      <w:r w:rsidR="00A27B50">
        <w:t>ο</w:t>
      </w:r>
      <w:r w:rsidRPr="00AA51EB">
        <w:t>ν ανταγωνιστούν ισοδύναμα</w:t>
      </w:r>
      <w:r>
        <w:t xml:space="preserve"> στην αγορά λιανικής</w:t>
      </w:r>
      <w:r w:rsidRPr="00AA51EB">
        <w:t>. Η ΡΑΕ θα παρακολουθεί</w:t>
      </w:r>
      <w:r>
        <w:t xml:space="preserve">, </w:t>
      </w:r>
      <w:r w:rsidRPr="00AA51EB">
        <w:t>σε ετήσια βάση</w:t>
      </w:r>
      <w:r>
        <w:t>,</w:t>
      </w:r>
      <w:r w:rsidRPr="00AA51EB">
        <w:t xml:space="preserve"> την αποτελεσματικότητα του προτεινόμενου σχεδιασμού και, αν κρίνεται απαραίτητο, θα αναθεωρεί την ετήσια συνολικά εκχωρούμενη ποσότητα </w:t>
      </w:r>
      <w:proofErr w:type="spellStart"/>
      <w:r w:rsidRPr="00AA51EB">
        <w:t>λιγνιτικής</w:t>
      </w:r>
      <w:proofErr w:type="spellEnd"/>
      <w:r w:rsidRPr="00AA51EB">
        <w:t xml:space="preserve"> και υδροηλεκτρικής παραγωγής. </w:t>
      </w:r>
      <w:r w:rsidRPr="00745F95">
        <w:t>Για το πρώτο έτος εφαρμογής του ρυθμιζόμενου μηχανισμού</w:t>
      </w:r>
      <w:r>
        <w:t>,</w:t>
      </w:r>
      <w:r w:rsidRPr="00745F95">
        <w:t xml:space="preserve"> οι </w:t>
      </w:r>
      <w:r w:rsidRPr="00BA2CFE">
        <w:t xml:space="preserve">ποσότητες που θα διατεθούν σε προθεσμιακά προϊόντα αντιστοιχούν σε περίπου </w:t>
      </w:r>
      <w:r w:rsidRPr="00727E46">
        <w:t xml:space="preserve">1200 </w:t>
      </w:r>
      <w:proofErr w:type="spellStart"/>
      <w:r w:rsidRPr="00BA2CFE">
        <w:rPr>
          <w:lang w:val="en-US"/>
        </w:rPr>
        <w:t>MWh</w:t>
      </w:r>
      <w:proofErr w:type="spellEnd"/>
      <w:r>
        <w:t>/ώρα</w:t>
      </w:r>
      <w:r w:rsidRPr="00BA2CFE">
        <w:t>. Οι</w:t>
      </w:r>
      <w:r w:rsidRPr="00745F95">
        <w:t xml:space="preserve"> ποσότητες αυτές υπόκεινται σε αναθεωρήσεις</w:t>
      </w:r>
      <w:r>
        <w:t>,</w:t>
      </w:r>
      <w:r w:rsidRPr="00745F95">
        <w:t xml:space="preserve"> στη βάση της αναμενόμενης ενέργειας ανά τεχνολογία.</w:t>
      </w:r>
      <w:r w:rsidRPr="00423CA0">
        <w:t xml:space="preserve"> </w:t>
      </w:r>
    </w:p>
    <w:p w:rsidR="00913D63" w:rsidRPr="00AA51EB" w:rsidRDefault="00913D63" w:rsidP="00992216">
      <w:pPr>
        <w:numPr>
          <w:ilvl w:val="0"/>
          <w:numId w:val="1"/>
        </w:numPr>
        <w:spacing w:after="200" w:line="276" w:lineRule="auto"/>
      </w:pPr>
      <w:r w:rsidRPr="00182663">
        <w:rPr>
          <w:b/>
        </w:rPr>
        <w:t xml:space="preserve">Δικαίωμα συμμετοχής στις δημοπρασίες: </w:t>
      </w:r>
      <w:r w:rsidRPr="00182663">
        <w:t>Σχετικό δικαίωμα θα έχουν οι κάτοχοι άδειας προμήθειας για εξυπηρέτηση</w:t>
      </w:r>
      <w:r w:rsidRPr="00AA51EB">
        <w:t xml:space="preserve"> εγχώριου φορτίου </w:t>
      </w:r>
      <w:r>
        <w:t xml:space="preserve">εγκατεστημένου στο διασυνδεδεμένο σύστημα, </w:t>
      </w:r>
      <w:r w:rsidRPr="00AA51EB">
        <w:t>οι οποίοι είναι οι εγγεγραμμένοι στο Μητρώο Συμμετεχόντων του Συστήματος Συναλλαγών</w:t>
      </w:r>
      <w:r>
        <w:t>.</w:t>
      </w:r>
      <w:r w:rsidRPr="00AA51EB">
        <w:t xml:space="preserve"> </w:t>
      </w:r>
      <w:r>
        <w:t>Η ΔΕΗ Α.Ε. δεν έχει δικαίωμα συμμετοχής στις δημοπρασίες.</w:t>
      </w:r>
    </w:p>
    <w:p w:rsidR="00913D63" w:rsidRDefault="00913D63" w:rsidP="00DA6E7E">
      <w:pPr>
        <w:pStyle w:val="a3"/>
        <w:numPr>
          <w:ilvl w:val="0"/>
          <w:numId w:val="1"/>
        </w:numPr>
        <w:spacing w:after="200" w:line="276" w:lineRule="auto"/>
      </w:pPr>
      <w:r w:rsidRPr="00DA6E7E">
        <w:rPr>
          <w:b/>
        </w:rPr>
        <w:t xml:space="preserve">Διάθεση και τιμή αναφοράς </w:t>
      </w:r>
      <w:r>
        <w:rPr>
          <w:b/>
        </w:rPr>
        <w:t>προθεσμιακών προϊόντων</w:t>
      </w:r>
      <w:r w:rsidRPr="00DA6E7E">
        <w:rPr>
          <w:b/>
        </w:rPr>
        <w:t xml:space="preserve">: </w:t>
      </w:r>
      <w:r w:rsidRPr="00DA6E7E">
        <w:t xml:space="preserve">Η διάθεση </w:t>
      </w:r>
      <w:r>
        <w:t>προθεσμιακών προϊόντων</w:t>
      </w:r>
      <w:r w:rsidRPr="00DA6E7E">
        <w:t xml:space="preserve"> θα πραγματοποιείται μέσω πλειοδοτικού διαγωνισμού και θα </w:t>
      </w:r>
      <w:r>
        <w:t>α</w:t>
      </w:r>
      <w:r w:rsidRPr="00DA6E7E">
        <w:t xml:space="preserve">φορά συγκεκριμένο κάθε φορά αριθμό </w:t>
      </w:r>
      <w:proofErr w:type="spellStart"/>
      <w:r w:rsidRPr="00DA6E7E">
        <w:rPr>
          <w:lang w:val="en-US"/>
        </w:rPr>
        <w:t>MWh</w:t>
      </w:r>
      <w:proofErr w:type="spellEnd"/>
      <w:r>
        <w:t>/ώρα</w:t>
      </w:r>
      <w:r w:rsidRPr="00DA6E7E">
        <w:t xml:space="preserve"> (</w:t>
      </w:r>
      <w:r>
        <w:t xml:space="preserve">πολλαπλάσιο των </w:t>
      </w:r>
      <w:r w:rsidRPr="004C0768">
        <w:t>5 MW</w:t>
      </w:r>
      <w:r w:rsidRPr="00DA6E7E">
        <w:rPr>
          <w:lang w:val="en-US"/>
        </w:rPr>
        <w:t>h</w:t>
      </w:r>
      <w:r>
        <w:t>/ώρα</w:t>
      </w:r>
      <w:r w:rsidRPr="00182663">
        <w:t>)</w:t>
      </w:r>
      <w:r w:rsidRPr="00DA6E7E">
        <w:t xml:space="preserve"> για προκαθορισμένο χρονικό διάστημα. Η ΡΑΕ θα καθορίζει τον όγκο του δημοπρατούμενου προϊόντος, το χρονικό διάστημα διάθεσής του</w:t>
      </w:r>
      <w:r>
        <w:t>,</w:t>
      </w:r>
      <w:r w:rsidRPr="00DA6E7E">
        <w:t xml:space="preserve"> καθώς και την τιμή εκκίνησης της δημοπρασίας. Η τιμή στην οποία </w:t>
      </w:r>
      <w:r>
        <w:t xml:space="preserve">κατακυρώνεται το δημοπρατούμενο προϊόν </w:t>
      </w:r>
      <w:r w:rsidRPr="00DA6E7E">
        <w:t xml:space="preserve">αποτελεί την </w:t>
      </w:r>
      <w:r w:rsidRPr="007059D2">
        <w:rPr>
          <w:b/>
        </w:rPr>
        <w:t>τιμή αναφοράς</w:t>
      </w:r>
      <w:r w:rsidRPr="00DA6E7E">
        <w:t xml:space="preserve"> </w:t>
      </w:r>
      <w:r>
        <w:t>του προθεσμιακού προϊόντος</w:t>
      </w:r>
      <w:r w:rsidRPr="00727E46">
        <w:t xml:space="preserve"> </w:t>
      </w:r>
      <w:r>
        <w:t>για τον συγκεκριμένο προμηθευτή (</w:t>
      </w:r>
      <w:r>
        <w:rPr>
          <w:lang w:val="en-US"/>
        </w:rPr>
        <w:t>pay</w:t>
      </w:r>
      <w:r w:rsidRPr="00727E46">
        <w:t xml:space="preserve"> </w:t>
      </w:r>
      <w:r>
        <w:rPr>
          <w:lang w:val="en-US"/>
        </w:rPr>
        <w:t>as</w:t>
      </w:r>
      <w:r w:rsidRPr="00727E46">
        <w:t xml:space="preserve"> </w:t>
      </w:r>
      <w:r>
        <w:rPr>
          <w:lang w:val="en-US"/>
        </w:rPr>
        <w:t>bid</w:t>
      </w:r>
      <w:r w:rsidRPr="00727E46">
        <w:t>)</w:t>
      </w:r>
      <w:r w:rsidRPr="00DA6E7E">
        <w:t>.</w:t>
      </w:r>
      <w:r>
        <w:t xml:space="preserve"> Οι πλειοδότες της δημοπρασίας αναλαμβάνουν συγκεκριμένες υποχρεώσεις, οι οποίες καθορίζονται σε αυστηρά ρυθμιζόμενο πλαίσιο όπως αυτό περιγράφεται στη συνέχεια.</w:t>
      </w:r>
    </w:p>
    <w:p w:rsidR="00913D63" w:rsidRPr="00A44263" w:rsidRDefault="00913D63" w:rsidP="00A44263">
      <w:pPr>
        <w:pStyle w:val="a3"/>
        <w:spacing w:after="200" w:line="276" w:lineRule="auto"/>
        <w:ind w:left="360"/>
      </w:pPr>
    </w:p>
    <w:p w:rsidR="00913D63" w:rsidRDefault="00913D63" w:rsidP="000053C2">
      <w:pPr>
        <w:pStyle w:val="a3"/>
        <w:numPr>
          <w:ilvl w:val="0"/>
          <w:numId w:val="1"/>
        </w:numPr>
        <w:spacing w:after="200" w:line="276" w:lineRule="auto"/>
      </w:pPr>
      <w:r w:rsidRPr="00B33C0D">
        <w:rPr>
          <w:b/>
        </w:rPr>
        <w:t>Συμβατικό πλαίσιο μεταξύ πωλητών</w:t>
      </w:r>
      <w:r>
        <w:rPr>
          <w:b/>
        </w:rPr>
        <w:t>,</w:t>
      </w:r>
      <w:r w:rsidRPr="00B33C0D">
        <w:rPr>
          <w:b/>
        </w:rPr>
        <w:t xml:space="preserve"> αγοραστών</w:t>
      </w:r>
      <w:r>
        <w:rPr>
          <w:b/>
        </w:rPr>
        <w:t xml:space="preserve"> και ΛΑΓΗΕ</w:t>
      </w:r>
      <w:r w:rsidRPr="00B33C0D">
        <w:rPr>
          <w:b/>
        </w:rPr>
        <w:t>:</w:t>
      </w:r>
      <w:r w:rsidRPr="00A44263">
        <w:t xml:space="preserve"> Το συμβατικό πλαίσιο της προτεινόμενης προθεσμιακής αγοράς είναι ρυθμιζόμενο. Η ΡΑΕ</w:t>
      </w:r>
      <w:r>
        <w:t xml:space="preserve"> </w:t>
      </w:r>
      <w:r w:rsidRPr="00A44263">
        <w:t>θα εγκρίνει τους όρους και τις διαδικασίες που θα πρέπει να περιλαμβάνονται στο εν λόγω συμβατικό πλαίσιο, ώστε να ρυθμίζονται οι οικονομικές συναλλαγές μεταξύ των συναλλασσ</w:t>
      </w:r>
      <w:r>
        <w:t>ό</w:t>
      </w:r>
      <w:r w:rsidRPr="00A44263">
        <w:t>μεν</w:t>
      </w:r>
      <w:r>
        <w:t>ω</w:t>
      </w:r>
      <w:r w:rsidRPr="00A44263">
        <w:t>ν</w:t>
      </w:r>
      <w:r>
        <w:t xml:space="preserve"> μερών</w:t>
      </w:r>
      <w:r w:rsidRPr="00A44263">
        <w:t>.</w:t>
      </w:r>
      <w:r>
        <w:t xml:space="preserve"> </w:t>
      </w:r>
    </w:p>
    <w:p w:rsidR="00913D63" w:rsidRDefault="00913D63" w:rsidP="00B33C0D">
      <w:pPr>
        <w:pStyle w:val="a3"/>
        <w:spacing w:after="200" w:line="276" w:lineRule="auto"/>
        <w:ind w:left="360"/>
      </w:pPr>
    </w:p>
    <w:p w:rsidR="00913D63" w:rsidRDefault="00913D63" w:rsidP="00B33C0D">
      <w:pPr>
        <w:pStyle w:val="a3"/>
        <w:spacing w:after="200" w:line="276" w:lineRule="auto"/>
        <w:ind w:left="360"/>
      </w:pPr>
      <w:r>
        <w:t>Η</w:t>
      </w:r>
      <w:r w:rsidRPr="00A44263">
        <w:t xml:space="preserve"> υποχρ</w:t>
      </w:r>
      <w:r>
        <w:t>έωση</w:t>
      </w:r>
      <w:r w:rsidRPr="00A44263">
        <w:t xml:space="preserve"> των αγοραστών/προμηθευτών να καταβάλουν εγκαίρως τις προβλεπόμενες πληρωμές</w:t>
      </w:r>
      <w:r>
        <w:t xml:space="preserve"> ή/και εγγυήσεις, μέσω του ΛΑΓΗΕ,</w:t>
      </w:r>
      <w:r w:rsidRPr="00A44263">
        <w:t xml:space="preserve"> ώστε να μπορούν να κάνουν χρήση των </w:t>
      </w:r>
      <w:r>
        <w:t>προϊόντων</w:t>
      </w:r>
      <w:r w:rsidRPr="00A44263">
        <w:t xml:space="preserve">, οι υποχρεώσεις τους για </w:t>
      </w:r>
      <w:r>
        <w:t>καταβολή προκαταβολής</w:t>
      </w:r>
      <w:r w:rsidRPr="00A44263">
        <w:t xml:space="preserve"> </w:t>
      </w:r>
      <w:r>
        <w:t xml:space="preserve">με την ολοκλήρωση της δημοπρασίας </w:t>
      </w:r>
      <w:r w:rsidRPr="00A44263">
        <w:t xml:space="preserve">και το ύψος </w:t>
      </w:r>
      <w:r>
        <w:t>αυτής,</w:t>
      </w:r>
      <w:r w:rsidRPr="00A44263">
        <w:t xml:space="preserve"> θα καθορίζονται στο συμβατικό πλαίσιο που θα εγκριθεί από τη ΡΑΕ. Στο συμβατικό πλαίσιο που εγκρίνεται από τη ΡΑΕ αναφέρονται </w:t>
      </w:r>
      <w:r>
        <w:t>επίσης</w:t>
      </w:r>
      <w:r w:rsidRPr="00A44263">
        <w:t xml:space="preserve"> και οι υποχρεώσεις του πωλητή/παραγωγού που σχετίζονται με τη διαδικασία εκπλήρωσης της συμβατικής του υποχρέωσης. Διευκρινίζεται ότι οι υποχρεώσεις του πωλητή/παραγωγού είναι οικονομικής φύσης και δεν εξαρτώνται από τη φυσική παράδοση του προϊόντος. </w:t>
      </w:r>
      <w:r>
        <w:lastRenderedPageBreak/>
        <w:t xml:space="preserve">Επομένως, οι συμβατικές υποχρεώσεις τόσο των αγοραστών όσο και του πωλητή </w:t>
      </w:r>
      <w:r w:rsidRPr="00A44263">
        <w:t xml:space="preserve">εφαρμόζονται ανεξαρτήτως από τη μονάδα ή τις μονάδες που τελικά θα παράγουν </w:t>
      </w:r>
      <w:r w:rsidRPr="000C660A">
        <w:t>ποσότητες ενέργειας για την κάλυψη του φορτίου των καταναλωτών (δηλαδή</w:t>
      </w:r>
      <w:r>
        <w:t>,</w:t>
      </w:r>
      <w:r w:rsidRPr="00A44263">
        <w:t xml:space="preserve"> ανεξάρτητα από τη τεχνολογία που χρησιμοποιήθηκε για την παραγωγή της αντίστοιχης ενέργειας). </w:t>
      </w:r>
    </w:p>
    <w:p w:rsidR="00913D63" w:rsidRDefault="00913D63" w:rsidP="00B33C0D">
      <w:pPr>
        <w:pStyle w:val="a3"/>
        <w:spacing w:after="200" w:line="276" w:lineRule="auto"/>
        <w:ind w:left="360"/>
      </w:pPr>
    </w:p>
    <w:p w:rsidR="00913D63" w:rsidRPr="00AA4108" w:rsidRDefault="00913D63" w:rsidP="00681428">
      <w:pPr>
        <w:pStyle w:val="a3"/>
        <w:spacing w:after="200" w:line="276" w:lineRule="auto"/>
        <w:ind w:left="360"/>
      </w:pPr>
      <w:r>
        <w:t>Με το συμβατικό πλαίσιο που προτείνεται, εισάγεται η υποχρέωση στο ΛΑΓΗΕ, κατά την ημερήσια εκκαθάριση του ΗΕΠ, να λαμβάνει υπόψη του και να εξαιρεί</w:t>
      </w:r>
      <w:r w:rsidRPr="00423CA0">
        <w:t xml:space="preserve">, </w:t>
      </w:r>
      <w:r>
        <w:t xml:space="preserve">σε ωριαία βάση, τις ποσότητες των δικαιωμάτων που ενεργοποιούνται σύμφωνα με τη διαδικασία που περιγράφεται στη συνέχεια. Οι προμηθευτές, προκειμένου να </w:t>
      </w:r>
      <w:r w:rsidRPr="000C660A">
        <w:t>μπορούν ν</w:t>
      </w:r>
      <w:r>
        <w:t xml:space="preserve">α </w:t>
      </w:r>
      <w:r w:rsidRPr="000C660A">
        <w:t>κάνουν χρήση των προθεσμιακών προϊόντων</w:t>
      </w:r>
      <w:r>
        <w:t>,</w:t>
      </w:r>
      <w:r w:rsidRPr="000C660A">
        <w:t xml:space="preserve"> υποχρεούνται</w:t>
      </w:r>
      <w:r>
        <w:t>,</w:t>
      </w:r>
      <w:r w:rsidRPr="000C660A">
        <w:t xml:space="preserve"> πριν την έναρξη κάθε μήνα</w:t>
      </w:r>
      <w:r>
        <w:t>,</w:t>
      </w:r>
      <w:r w:rsidRPr="000C660A">
        <w:t xml:space="preserve"> να </w:t>
      </w:r>
      <w:r w:rsidRPr="00AA6E92">
        <w:t>προπληρώνουν μέσω ΛΑΓΗΕ και σε ποσοστό 50% τα δικαιώματα τα οποία προτίθενται να</w:t>
      </w:r>
      <w:r w:rsidRPr="000C660A">
        <w:t xml:space="preserve"> χρησιμοποιήσουν. Το υπόλοιπο ποσό </w:t>
      </w:r>
      <w:r>
        <w:t>καταβάλλεται</w:t>
      </w:r>
      <w:r w:rsidRPr="000C660A">
        <w:t xml:space="preserve"> κατά </w:t>
      </w:r>
      <w:r>
        <w:t>τους εβδομαδιαίους και τον τελικό μηνιαίο διακανονισμό των</w:t>
      </w:r>
      <w:r w:rsidRPr="000C660A">
        <w:t xml:space="preserve"> </w:t>
      </w:r>
      <w:proofErr w:type="spellStart"/>
      <w:r w:rsidRPr="000C660A">
        <w:t>χρηματο</w:t>
      </w:r>
      <w:r>
        <w:t>ρ</w:t>
      </w:r>
      <w:r w:rsidRPr="000C660A">
        <w:t>ροών</w:t>
      </w:r>
      <w:proofErr w:type="spellEnd"/>
      <w:r>
        <w:t xml:space="preserve"> που πραγματοποιεί ο ΛΑΓΗΕ</w:t>
      </w:r>
      <w:r w:rsidRPr="000C660A">
        <w:t>.</w:t>
      </w:r>
      <w:r>
        <w:t xml:space="preserve"> Επομένως, ο ΛΑΓΗΕ κατά την ημερήσια εκκαθάριση των ποσοτήτων ενέργειας του ΗΕΠ, θα εξαιρεί αντίστοιχες ποσότητες τόσο από τον λογαριασμό του πωλητή (ΔΕΗ Α.Ε.) για έγχυση ενέργειας στο σύστημα, όσο και από τους λογαριασμούς των ανεξάρτητων προμηθευτών για απορρόφηση ενέργειας από το σύστημα.</w:t>
      </w:r>
      <w:r w:rsidRPr="004A0B10">
        <w:t xml:space="preserve"> </w:t>
      </w:r>
      <w:r>
        <w:t>Τα χρηματικά ποσά που εισπράττονται από το ΛΑΓΗΕ ως πληρωμή δικαιωμάτων προθεσμιακών προϊόντων κατευθύνονται στον πωλητή μετά και τον τελικό μηνιαίο διακανονισμό</w:t>
      </w:r>
      <w:r w:rsidRPr="00AA4108">
        <w:t xml:space="preserve">. </w:t>
      </w:r>
      <w:r w:rsidRPr="00BA2CFE">
        <w:t xml:space="preserve">Οι </w:t>
      </w:r>
      <w:r>
        <w:t>προ</w:t>
      </w:r>
      <w:r w:rsidRPr="00BA2CFE">
        <w:t>πληρωμές για χρήση δικαιωμάτων προθεσμιακών προϊόντων θα λαμβάνονται υπ</w:t>
      </w:r>
      <w:r>
        <w:t xml:space="preserve">’ </w:t>
      </w:r>
      <w:r w:rsidRPr="00BA2CFE">
        <w:t>όψη στον υπολογισμό των εγγυήσεων που καταβάλλονται στο πλαίσιο του ΗΕΠ.</w:t>
      </w:r>
      <w:r w:rsidRPr="00AA4108">
        <w:t xml:space="preserve">  </w:t>
      </w:r>
    </w:p>
    <w:p w:rsidR="00913D63" w:rsidRPr="007A5917" w:rsidRDefault="00913D63" w:rsidP="00D5096E">
      <w:pPr>
        <w:pStyle w:val="a3"/>
        <w:spacing w:after="200" w:line="276" w:lineRule="auto"/>
        <w:ind w:left="360"/>
      </w:pPr>
    </w:p>
    <w:p w:rsidR="00913D63" w:rsidRPr="00AA6E92" w:rsidRDefault="00913D63" w:rsidP="0090265C">
      <w:pPr>
        <w:pStyle w:val="a3"/>
        <w:numPr>
          <w:ilvl w:val="0"/>
          <w:numId w:val="1"/>
        </w:numPr>
        <w:tabs>
          <w:tab w:val="left" w:pos="142"/>
        </w:tabs>
        <w:spacing w:after="200" w:line="276" w:lineRule="auto"/>
      </w:pPr>
      <w:r w:rsidRPr="0032445A">
        <w:rPr>
          <w:b/>
        </w:rPr>
        <w:t xml:space="preserve">Καθορισμός </w:t>
      </w:r>
      <w:r w:rsidR="00AA6E92">
        <w:rPr>
          <w:b/>
        </w:rPr>
        <w:t>π</w:t>
      </w:r>
      <w:r w:rsidRPr="0032445A">
        <w:rPr>
          <w:b/>
        </w:rPr>
        <w:t>ροκαταβολής:</w:t>
      </w:r>
      <w:r w:rsidRPr="00A44263">
        <w:t xml:space="preserve"> Διευκρινίζεται ότι οι προμηθευτές</w:t>
      </w:r>
      <w:r>
        <w:t>,</w:t>
      </w:r>
      <w:r w:rsidRPr="00A44263">
        <w:t xml:space="preserve"> </w:t>
      </w:r>
      <w:r>
        <w:t xml:space="preserve">στους οποίους κατακυρώνονται προθεσμιακά προϊόντα μέσω της διαδικασία δημοπράτησης, με τη λήξη της δημοπρασίας, οφείλουν </w:t>
      </w:r>
      <w:r w:rsidRPr="00A44263">
        <w:t xml:space="preserve">να καταβάλουν </w:t>
      </w:r>
      <w:r>
        <w:t xml:space="preserve">στον αντισυμβαλλόμενο πωλητή, μέσω του </w:t>
      </w:r>
      <w:r w:rsidRPr="00AA6E92">
        <w:t xml:space="preserve">ΛΑΓΗΕ, προκαταβολή η οποία ανέρχεται σε ποσοστό 1% του χρηματικού ποσού που υπολογίζεται αν πολλαπλασιαστεί η τιμή αναφοράς στην οποία έκλεισε η δημοπρασία με το ποσό ενέργειας που εκχωρήθηκε στον κάθε προμηθευτή, για το χρονικό διάστημα του συγκεκριμένου προϊόντος.   </w:t>
      </w:r>
    </w:p>
    <w:p w:rsidR="00913D63" w:rsidRPr="00AA6E92" w:rsidRDefault="00913D63" w:rsidP="0032445A">
      <w:pPr>
        <w:pStyle w:val="a3"/>
        <w:spacing w:after="200" w:line="276" w:lineRule="auto"/>
        <w:ind w:left="360"/>
      </w:pPr>
    </w:p>
    <w:p w:rsidR="00913D63" w:rsidRPr="00AA6E92" w:rsidRDefault="00913D63" w:rsidP="008E15A8">
      <w:pPr>
        <w:pStyle w:val="a3"/>
        <w:numPr>
          <w:ilvl w:val="0"/>
          <w:numId w:val="1"/>
        </w:numPr>
        <w:spacing w:after="200" w:line="276" w:lineRule="auto"/>
      </w:pPr>
      <w:r w:rsidRPr="00AA6E92">
        <w:rPr>
          <w:b/>
        </w:rPr>
        <w:t xml:space="preserve">Πρόγραμμα διεξαγωγής δημοπρασιών προθεσμιακών προϊόντων: </w:t>
      </w:r>
      <w:r w:rsidRPr="00AA6E92">
        <w:t>Η πρώτη δημοπρασία θα λάβει χώρα την 20</w:t>
      </w:r>
      <w:r w:rsidRPr="00AA6E92">
        <w:rPr>
          <w:vertAlign w:val="superscript"/>
        </w:rPr>
        <w:t>η</w:t>
      </w:r>
      <w:r w:rsidRPr="00AA6E92">
        <w:t xml:space="preserve">.02.2015 και θα αφορά  800 </w:t>
      </w:r>
      <w:proofErr w:type="spellStart"/>
      <w:r w:rsidRPr="00AA6E92">
        <w:rPr>
          <w:lang w:val="en-US"/>
        </w:rPr>
        <w:t>MWh</w:t>
      </w:r>
      <w:proofErr w:type="spellEnd"/>
      <w:r w:rsidRPr="00AA6E92">
        <w:t>/ώρα για το 12μ</w:t>
      </w:r>
      <w:r w:rsidR="00507158">
        <w:t>η</w:t>
      </w:r>
      <w:r w:rsidRPr="00AA6E92">
        <w:t xml:space="preserve">νο </w:t>
      </w:r>
      <w:r w:rsidR="00507158">
        <w:t>διάστημα 01.04.2015-</w:t>
      </w:r>
      <w:r w:rsidRPr="00AA6E92">
        <w:t xml:space="preserve">31.03.2016. Κατά την ίδια ημερομηνία θα λάβει χώρα και δημοπρασία τρίμηνου προϊόντος 400 </w:t>
      </w:r>
      <w:proofErr w:type="spellStart"/>
      <w:r w:rsidRPr="00AA6E92">
        <w:rPr>
          <w:lang w:val="en-US"/>
        </w:rPr>
        <w:t>MWh</w:t>
      </w:r>
      <w:proofErr w:type="spellEnd"/>
      <w:r w:rsidRPr="00AA6E92">
        <w:t xml:space="preserve">/ώρα για το διάστημα 01.04.2015 έως 30.06.2015. Θα ακολουθήσουν τρεις </w:t>
      </w:r>
      <w:r w:rsidR="00507158">
        <w:t xml:space="preserve">(3) </w:t>
      </w:r>
      <w:r w:rsidRPr="00AA6E92">
        <w:t xml:space="preserve">ακόμα δημοπρασίες, για το τρίμηνο προϊόν των 400 </w:t>
      </w:r>
      <w:proofErr w:type="spellStart"/>
      <w:r w:rsidRPr="00AA6E92">
        <w:rPr>
          <w:lang w:val="en-US"/>
        </w:rPr>
        <w:t>MWh</w:t>
      </w:r>
      <w:proofErr w:type="spellEnd"/>
      <w:r w:rsidRPr="00AA6E92">
        <w:t>/ώρ</w:t>
      </w:r>
      <w:r w:rsidR="00507158">
        <w:t>α, ώστε να καλυφθεί το σύνολο των</w:t>
      </w:r>
      <w:r w:rsidRPr="00AA6E92">
        <w:t xml:space="preserve"> 1200 </w:t>
      </w:r>
      <w:proofErr w:type="spellStart"/>
      <w:r w:rsidRPr="00AA6E92">
        <w:rPr>
          <w:lang w:val="en-US"/>
        </w:rPr>
        <w:t>MWh</w:t>
      </w:r>
      <w:proofErr w:type="spellEnd"/>
      <w:r w:rsidRPr="00AA6E92">
        <w:t xml:space="preserve">/ώρα για το 12μηνο </w:t>
      </w:r>
      <w:r w:rsidR="00507158">
        <w:t>διάστημα 01.04.2015-</w:t>
      </w:r>
      <w:r w:rsidRPr="00AA6E92">
        <w:t xml:space="preserve"> 31.03.2016.</w:t>
      </w:r>
    </w:p>
    <w:p w:rsidR="00913D63" w:rsidRPr="00AA6E92" w:rsidRDefault="00913D63" w:rsidP="008D1D21">
      <w:pPr>
        <w:ind w:left="426" w:hanging="66"/>
      </w:pPr>
      <w:r w:rsidRPr="00AA6E92">
        <w:rPr>
          <w:lang w:val="en-US"/>
        </w:rPr>
        <w:t>H</w:t>
      </w:r>
      <w:r w:rsidRPr="00AA6E92">
        <w:t xml:space="preserve"> ΡΑΕ, με ανακοινώσεις της, θα ενημερώνει για τη διεξαγωγή επόμενων δημοπρασιών και για το μέγεθος των δημοπρατούμενων προϊόντων. Οι ημερομηνίες των διαγωνισμών θα είναι τέτοιες, ώστε να επιτρέπουν στους προμηθευτές να διατηρούν διαρκώς στο χαρτοφυλάκιό τους προθεσμιακά προϊόντα προς εξυπηρέτηση των πελατών τους. </w:t>
      </w:r>
    </w:p>
    <w:p w:rsidR="00913D63" w:rsidRPr="00AA6E92" w:rsidRDefault="00913D63" w:rsidP="00AF7A43">
      <w:pPr>
        <w:numPr>
          <w:ilvl w:val="0"/>
          <w:numId w:val="1"/>
        </w:numPr>
        <w:spacing w:after="200" w:line="276" w:lineRule="auto"/>
      </w:pPr>
      <w:r w:rsidRPr="00AA6E92">
        <w:rPr>
          <w:rStyle w:val="hps"/>
          <w:b/>
        </w:rPr>
        <w:t>Δικαίωμα χρήσης προθεσμιακών προϊόντων</w:t>
      </w:r>
      <w:r w:rsidRPr="00AA6E92">
        <w:rPr>
          <w:rStyle w:val="hps"/>
        </w:rPr>
        <w:t xml:space="preserve">: </w:t>
      </w:r>
      <w:r w:rsidRPr="00AA6E92">
        <w:t xml:space="preserve">Κάθε προμηθευτής έχει δικαίωμα να χρησιμοποιεί το προθεσμιακό προϊόν για το οποίο έχει πλειοδοτήσει, σύμφωνα με το προφίλ και τις κατηγορίες καταναλωτών που εξυπηρετεί. Συγκεκριμένα, δεκαπέντε (15) ημέρες πριν την αρχή κάθε μήνα, θα υπολογίζονται τα δικαιώματα προθεσμιακών προϊόντων των προμηθευτών. Τα δικαιώματα υπολογίζονται ως οι ποσότητες ενέργειας </w:t>
      </w:r>
      <w:r w:rsidRPr="00AA6E92">
        <w:lastRenderedPageBreak/>
        <w:t xml:space="preserve">που καθορίζονται σύμφωνα με  το φορτίο των πελατών του κάθε προμηθευτή στις ώρες μη αιχμής της λειτουργίας του συστήματος. Οι πελάτες κάθε προμηθευτή καταγράφονται στη βάση της διαδικασίας αλλαγής προμηθευτών, όπως διεκπεραιώνεται από τους ΔΕΔΔΗΕ/ΑΔΜΗΕ.  </w:t>
      </w:r>
    </w:p>
    <w:p w:rsidR="00913D63" w:rsidRPr="00EC582E" w:rsidRDefault="00913D63" w:rsidP="00BA2CFE">
      <w:pPr>
        <w:spacing w:after="200" w:line="276" w:lineRule="auto"/>
        <w:ind w:left="426"/>
        <w:rPr>
          <w:highlight w:val="green"/>
        </w:rPr>
      </w:pPr>
      <w:r w:rsidRPr="00BA2CFE">
        <w:t>Για τις πρώτες δημοπρασίες ορίζεται περίοδος ελαχίστου κατανάλωσης (</w:t>
      </w:r>
      <w:r w:rsidRPr="00BA2CFE">
        <w:rPr>
          <w:lang w:val="en-US"/>
        </w:rPr>
        <w:t>off</w:t>
      </w:r>
      <w:r w:rsidRPr="00BA2CFE">
        <w:t>-</w:t>
      </w:r>
      <w:r w:rsidRPr="00BA2CFE">
        <w:rPr>
          <w:lang w:val="en-US"/>
        </w:rPr>
        <w:t>peak</w:t>
      </w:r>
      <w:r w:rsidRPr="00BA2CFE">
        <w:t>) το διάστημα μεταξύ των ωρών 00:00- 10:00 για κάθε ημέρα</w:t>
      </w:r>
      <w:r>
        <w:t>,</w:t>
      </w:r>
      <w:r w:rsidRPr="00BA2CFE">
        <w:t xml:space="preserve"> από Δευτέρα έως και Παρασκευή (καθημερινές)</w:t>
      </w:r>
      <w:r>
        <w:t>,</w:t>
      </w:r>
      <w:r w:rsidRPr="00BA2CFE">
        <w:t xml:space="preserve"> και 00:00- 24:00 των Σαββάτων και Κυριακών των αντίστοιχων μηνών του προηγούμενου έτους τους οποίους αφορά η δημοπρασία. </w:t>
      </w:r>
      <w:r>
        <w:t>Για τους πελάτες με ωριαίους μετρητές, κ</w:t>
      </w:r>
      <w:r w:rsidRPr="00BA2CFE">
        <w:t>αταγράφονται οι 20</w:t>
      </w:r>
      <w:r w:rsidRPr="00926546">
        <w:t xml:space="preserve"> μεγαλύτερες</w:t>
      </w:r>
      <w:r>
        <w:t xml:space="preserve"> καταναλώσεις κατά τη διάρκεια των ωρών</w:t>
      </w:r>
      <w:r w:rsidRPr="00587907">
        <w:t xml:space="preserve"> </w:t>
      </w:r>
      <w:r>
        <w:t xml:space="preserve">ελαχίστου κατανάλωσης του έτους και εξαιρούνται της διαδικασίας υπολογισμού των αντίστοιχων δικαιωμάτων. Στη συνέχεια προσδιορίζεται </w:t>
      </w:r>
      <w:r w:rsidRPr="00182663">
        <w:rPr>
          <w:b/>
        </w:rPr>
        <w:t>ανά μήνα</w:t>
      </w:r>
      <w:r>
        <w:t xml:space="preserve"> η μέγιστη κατανάλωση κατά τη διάρκεια της περιόδου ελαχίστου,</w:t>
      </w:r>
      <w:r w:rsidRPr="00727E46">
        <w:t xml:space="preserve"> </w:t>
      </w:r>
      <w:r>
        <w:t xml:space="preserve">η οποία και αποτελεί την κατανάλωση βάσης για την οποία ο προμηθευτής που εκπροσωπεί τον εν λόγω μετρητή δικαιούται χρήση προθεσμιακού προϊόντος, για το σύνολο των ωρών του επόμενου μήνα. Για τους προμηθευτές που εκπροσωπούν μη ωριαίους μετρητές χρησιμοποιείται </w:t>
      </w:r>
      <w:r w:rsidRPr="00182663">
        <w:rPr>
          <w:b/>
        </w:rPr>
        <w:t>η μέση</w:t>
      </w:r>
      <w:r>
        <w:rPr>
          <w:b/>
        </w:rPr>
        <w:t xml:space="preserve"> ωριαία </w:t>
      </w:r>
      <w:r w:rsidRPr="00182663">
        <w:rPr>
          <w:b/>
        </w:rPr>
        <w:t>κατανάλωση</w:t>
      </w:r>
      <w:r>
        <w:t xml:space="preserve"> του Διασυνδεδεμένου Δικτύου (λαμβάνοντας υπ’ όψη τη διεσπαρμένη παραγωγή και αφού αφαιρεθεί το σύνολο της κατανάλωσης από ωριαίους μετρητές) κατά την ίδια περίοδο ελαχίστου. Στην κατανάλωση αυτή εφαρμόζονται οι εκ των προτέρων υπολογιζόμενοι μηνιαίοι συντελεστές εκπροσώπησης των προμηθευτών. Η κατανάλωση που προσδιορίζεται με τον τρόπο αυτό, ορίζει την ποσότητα σε </w:t>
      </w:r>
      <w:proofErr w:type="spellStart"/>
      <w:r w:rsidRPr="00AF7A43">
        <w:rPr>
          <w:lang w:val="en-US"/>
        </w:rPr>
        <w:t>MWh</w:t>
      </w:r>
      <w:proofErr w:type="spellEnd"/>
      <w:r w:rsidRPr="00182663">
        <w:t>/</w:t>
      </w:r>
      <w:r>
        <w:t>ώρα για την οποία ο προμηθευτής δικαιούται χρήση προθεσμιακών προϊόντων για το σύνολο των ωρών του επόμενου μήνα. Οι ποσότητες ενέργειας που έχουν «εκχωρηθεί» μέσω της δημοπρασίας αποτελούν το ανώτερο όριο χρήσης σχετικών δικαιωμάτων από τους προμηθευτές.</w:t>
      </w:r>
    </w:p>
    <w:p w:rsidR="00913D63" w:rsidRPr="00D71B4D" w:rsidRDefault="00913D63" w:rsidP="000053C2">
      <w:pPr>
        <w:numPr>
          <w:ilvl w:val="0"/>
          <w:numId w:val="1"/>
        </w:numPr>
        <w:spacing w:after="200" w:line="276" w:lineRule="auto"/>
      </w:pPr>
      <w:r w:rsidRPr="00D71B4D">
        <w:rPr>
          <w:b/>
        </w:rPr>
        <w:t xml:space="preserve">Διαφοροποίηση </w:t>
      </w:r>
      <w:r>
        <w:rPr>
          <w:b/>
        </w:rPr>
        <w:t>τ</w:t>
      </w:r>
      <w:r w:rsidRPr="00D71B4D">
        <w:rPr>
          <w:b/>
        </w:rPr>
        <w:t>ιμή</w:t>
      </w:r>
      <w:r>
        <w:rPr>
          <w:b/>
        </w:rPr>
        <w:t>ς</w:t>
      </w:r>
      <w:r w:rsidRPr="00D71B4D">
        <w:rPr>
          <w:b/>
        </w:rPr>
        <w:t xml:space="preserve"> </w:t>
      </w:r>
      <w:r>
        <w:rPr>
          <w:b/>
        </w:rPr>
        <w:t>προθεσμιακών προϊόντων</w:t>
      </w:r>
      <w:r w:rsidRPr="00182663">
        <w:rPr>
          <w:b/>
        </w:rPr>
        <w:t>:</w:t>
      </w:r>
      <w:r>
        <w:rPr>
          <w:b/>
        </w:rPr>
        <w:t xml:space="preserve"> </w:t>
      </w:r>
      <w:r w:rsidRPr="00D71B4D">
        <w:t xml:space="preserve">Οι υφιστάμενες </w:t>
      </w:r>
      <w:r>
        <w:t>διαφοροποιήσεις</w:t>
      </w:r>
      <w:r w:rsidRPr="00D71B4D">
        <w:t xml:space="preserve"> στα τιμολόγια λιανικής</w:t>
      </w:r>
      <w:r>
        <w:t>,</w:t>
      </w:r>
      <w:r w:rsidRPr="00D71B4D">
        <w:t xml:space="preserve"> </w:t>
      </w:r>
      <w:r>
        <w:t>σε συνδυασμό με τις καταναλώσεις των διαφόρων κατηγοριών καταναλωτών κατά τη διάρκεια της περιόδου</w:t>
      </w:r>
      <w:r w:rsidRPr="00587907">
        <w:t xml:space="preserve"> </w:t>
      </w:r>
      <w:r>
        <w:t>ελαχίστου κατανάλωσης</w:t>
      </w:r>
      <w:r w:rsidRPr="00D71B4D">
        <w:t xml:space="preserve"> </w:t>
      </w:r>
      <w:r>
        <w:t xml:space="preserve">(όπως αυτή ορίστηκε προηγουμένως), </w:t>
      </w:r>
      <w:r w:rsidRPr="00D71B4D">
        <w:t>αναμένεται να δημιουργήσουν ασύμμετρη διείσδυση ανεξάρτητων προμηθευτών μεταξύ κατηγοριών καταναλωτών. Ένα τέτοιο ενδεχόμενο δημιουργεί σοβαρά προβλήματα στην ανάπτυξη ουσιαστικού ανταγωνισμού προς όφελος του συνόλου των καταναλωτών</w:t>
      </w:r>
      <w:r>
        <w:t xml:space="preserve">, ενώ δεν εξασφαλίζεται η ομαλή μετάβαση από τη σημερινή κατάσταση, όσον αφορά τον τρόπο που προσδιορίζονται τα τιμολόγια (κατά </w:t>
      </w:r>
      <w:r w:rsidRPr="00A65041">
        <w:t xml:space="preserve">κύριο λόγο, βάσει των τιμολογίων που θέτει ο </w:t>
      </w:r>
      <w:r w:rsidR="00A65041">
        <w:t xml:space="preserve">δεσπόζων </w:t>
      </w:r>
      <w:r w:rsidRPr="00A65041">
        <w:t>προμηθευτής), στην</w:t>
      </w:r>
      <w:r w:rsidRPr="00D71B4D">
        <w:t xml:space="preserve"> </w:t>
      </w:r>
      <w:r>
        <w:t>επόμενη φάση, κατά τη διάρκεια της οποίας οι τιμολογήσεις των καταναλωτών αναμένεται να βασίζονται στη βελτιστοποίηση του μακροχρόνιου κόστους εξυπηρέτησης του χαρτοφυλακίου των πελατών (</w:t>
      </w:r>
      <w:r>
        <w:rPr>
          <w:lang w:val="en-US"/>
        </w:rPr>
        <w:t>portfolio</w:t>
      </w:r>
      <w:r w:rsidRPr="00182663">
        <w:t xml:space="preserve"> </w:t>
      </w:r>
      <w:r>
        <w:rPr>
          <w:lang w:val="en-US"/>
        </w:rPr>
        <w:t>energy</w:t>
      </w:r>
      <w:r w:rsidRPr="00182663">
        <w:t xml:space="preserve"> </w:t>
      </w:r>
      <w:r>
        <w:rPr>
          <w:lang w:val="en-US"/>
        </w:rPr>
        <w:t>management</w:t>
      </w:r>
      <w:r w:rsidRPr="00182663">
        <w:t xml:space="preserve">) </w:t>
      </w:r>
      <w:r>
        <w:t>και τη δημιουργία συνθηκών μακροχρόνιων σχέσεων συνεργασίας μεταξύ παραγωγών, προμηθευτών και καταναλωτών. Για</w:t>
      </w:r>
      <w:r w:rsidRPr="00D71B4D">
        <w:t xml:space="preserve"> το λόγο αυτό</w:t>
      </w:r>
      <w:r>
        <w:t>,</w:t>
      </w:r>
      <w:r w:rsidRPr="00D71B4D">
        <w:t xml:space="preserve"> η ΡΑΕ κρίνει σκόπιμο να </w:t>
      </w:r>
      <w:r>
        <w:t>εφαρμοστεί, για την πρώτη περίοδο εφαρμογής των δημοπρασιών, κατάλληλος ρυθμιστικός μηχανισμός, ώστε να εξασφαλίζεται</w:t>
      </w:r>
      <w:r w:rsidRPr="00D71B4D">
        <w:t xml:space="preserve"> ότι</w:t>
      </w:r>
      <w:r>
        <w:t xml:space="preserve"> το οικονομικό αποτέλεσμα από τη χρήση των προθεσμιακών προϊόντων,</w:t>
      </w:r>
      <w:r w:rsidRPr="00D71B4D">
        <w:t xml:space="preserve"> σε συνδυασμό με την αγορά ποσοτήτων ενέργειας από τον ΗΕΠ και από εισαγωγές, δεν δημιουργούν υπέρμετρο περιθώριο</w:t>
      </w:r>
      <w:r w:rsidRPr="003618A9">
        <w:t xml:space="preserve"> </w:t>
      </w:r>
      <w:r w:rsidRPr="00D71B4D">
        <w:t>σε καμία κατηγορία καταναλωτών</w:t>
      </w:r>
      <w:r>
        <w:t>,</w:t>
      </w:r>
      <w:r w:rsidRPr="00D71B4D">
        <w:t xml:space="preserve"> αλλά</w:t>
      </w:r>
      <w:r>
        <w:t>,</w:t>
      </w:r>
      <w:r w:rsidRPr="00D71B4D">
        <w:t xml:space="preserve"> αντιθέτως</w:t>
      </w:r>
      <w:r>
        <w:t>,</w:t>
      </w:r>
      <w:r w:rsidRPr="00D71B4D">
        <w:t xml:space="preserve"> δημιουργούν προϋποθέσεις για δραστηριοποίηση ανεξάρτητων προμηθευτών στο </w:t>
      </w:r>
      <w:r>
        <w:t xml:space="preserve">σύνολο των Ελλήνων καταναλωτών. </w:t>
      </w:r>
    </w:p>
    <w:p w:rsidR="00913D63" w:rsidRDefault="00913D63" w:rsidP="004B25D3">
      <w:pPr>
        <w:pStyle w:val="a3"/>
        <w:spacing w:line="276" w:lineRule="auto"/>
        <w:ind w:left="357"/>
      </w:pPr>
      <w:r w:rsidRPr="00D71B4D">
        <w:lastRenderedPageBreak/>
        <w:t xml:space="preserve">Για να επιτευχθεί ο στόχος </w:t>
      </w:r>
      <w:r>
        <w:t>αυτός,</w:t>
      </w:r>
      <w:r w:rsidRPr="00D71B4D">
        <w:t xml:space="preserve"> </w:t>
      </w:r>
      <w:r>
        <w:t>προτείνεται</w:t>
      </w:r>
      <w:r w:rsidRPr="00D71B4D">
        <w:t xml:space="preserve"> </w:t>
      </w:r>
      <w:r>
        <w:t xml:space="preserve">η </w:t>
      </w:r>
      <w:r w:rsidRPr="00D71B4D">
        <w:t>εφαρμογή συντελεστή διαφοροποίησης της τιμής</w:t>
      </w:r>
      <w:r>
        <w:t xml:space="preserve"> αγοράς προθεσμιακών προϊόντων </w:t>
      </w:r>
      <w:r w:rsidRPr="00D71B4D">
        <w:t>ανά κατηγορία καταναλωτών</w:t>
      </w:r>
      <w:r>
        <w:t xml:space="preserve"> που εξυπηρετεί ο κάθε προμηθευτής. Συγκεκριμένα, προτείνεται η εφαρμογή των κάτωθι Συντελεστών Διαφοροποίησης της Τιμής (ΣΔΤ), οι οποίοι εφαρμόζονται επί της τιμής αναφοράς</w:t>
      </w:r>
      <w:r w:rsidRPr="00182663">
        <w:t>:</w:t>
      </w:r>
    </w:p>
    <w:p w:rsidR="00913D63" w:rsidRDefault="00913D63" w:rsidP="00D71B4D">
      <w:pPr>
        <w:pStyle w:val="a3"/>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1980"/>
      </w:tblGrid>
      <w:tr w:rsidR="00913D63" w:rsidRPr="00520FCB" w:rsidTr="0050529A">
        <w:trPr>
          <w:jc w:val="center"/>
        </w:trPr>
        <w:tc>
          <w:tcPr>
            <w:tcW w:w="5148" w:type="dxa"/>
            <w:shd w:val="clear" w:color="auto" w:fill="134163"/>
            <w:vAlign w:val="center"/>
          </w:tcPr>
          <w:p w:rsidR="00913D63" w:rsidRPr="00520FCB" w:rsidRDefault="00913D63" w:rsidP="00AA6E92">
            <w:pPr>
              <w:pStyle w:val="a3"/>
              <w:spacing w:after="0" w:line="240" w:lineRule="auto"/>
              <w:ind w:left="0"/>
              <w:jc w:val="center"/>
            </w:pPr>
            <w:r w:rsidRPr="00520FCB">
              <w:t>Κατηγορία καταναλωτών</w:t>
            </w:r>
          </w:p>
        </w:tc>
        <w:tc>
          <w:tcPr>
            <w:tcW w:w="1980" w:type="dxa"/>
            <w:shd w:val="clear" w:color="auto" w:fill="134163"/>
          </w:tcPr>
          <w:p w:rsidR="00913D63" w:rsidRPr="00520FCB" w:rsidRDefault="00913D63" w:rsidP="00AA6E92">
            <w:pPr>
              <w:pStyle w:val="a3"/>
              <w:spacing w:after="0" w:line="240" w:lineRule="auto"/>
              <w:ind w:left="0"/>
              <w:jc w:val="center"/>
            </w:pPr>
            <w:r w:rsidRPr="00520FCB">
              <w:t>Συντελεστής διαφοροποίησης τιμής (ΣΔΤ)</w:t>
            </w:r>
          </w:p>
        </w:tc>
      </w:tr>
      <w:tr w:rsidR="00913D63" w:rsidRPr="00520FCB" w:rsidTr="00FC1C02">
        <w:trPr>
          <w:jc w:val="center"/>
        </w:trPr>
        <w:tc>
          <w:tcPr>
            <w:tcW w:w="5148" w:type="dxa"/>
          </w:tcPr>
          <w:p w:rsidR="00913D63" w:rsidRPr="00520FCB" w:rsidRDefault="00913D63" w:rsidP="008E7760">
            <w:pPr>
              <w:pStyle w:val="a3"/>
              <w:spacing w:after="0" w:line="240" w:lineRule="auto"/>
              <w:ind w:left="0"/>
            </w:pPr>
            <w:r w:rsidRPr="00520FCB">
              <w:t>ΥΤ με</w:t>
            </w:r>
            <w:r w:rsidR="008E7760">
              <w:t xml:space="preserve"> </w:t>
            </w:r>
            <w:r w:rsidR="008E7760" w:rsidRPr="00520FCB">
              <w:t>ετήσια κατανάλωση</w:t>
            </w:r>
            <w:r w:rsidRPr="00520FCB">
              <w:t xml:space="preserve"> </w:t>
            </w:r>
            <w:r w:rsidR="008E7760">
              <w:t>άνω των 100</w:t>
            </w:r>
            <w:r w:rsidR="008E7760" w:rsidRPr="008E7760">
              <w:t xml:space="preserve"> </w:t>
            </w:r>
            <w:r w:rsidR="008E7760">
              <w:rPr>
                <w:lang w:val="en-US"/>
              </w:rPr>
              <w:t>G</w:t>
            </w:r>
            <w:r w:rsidRPr="00520FCB">
              <w:t>W</w:t>
            </w:r>
            <w:r w:rsidR="008E7760">
              <w:rPr>
                <w:lang w:val="en-US"/>
              </w:rPr>
              <w:t>h</w:t>
            </w:r>
            <w:r w:rsidRPr="00520FCB">
              <w:t xml:space="preserve">  </w:t>
            </w:r>
          </w:p>
        </w:tc>
        <w:tc>
          <w:tcPr>
            <w:tcW w:w="1980" w:type="dxa"/>
          </w:tcPr>
          <w:p w:rsidR="00913D63" w:rsidRPr="00520FCB" w:rsidRDefault="00913D63" w:rsidP="00AA6E92">
            <w:pPr>
              <w:pStyle w:val="a3"/>
              <w:spacing w:after="0" w:line="240" w:lineRule="auto"/>
              <w:ind w:left="0"/>
              <w:jc w:val="center"/>
            </w:pPr>
            <w:r w:rsidRPr="00520FCB">
              <w:t>0,70</w:t>
            </w:r>
          </w:p>
        </w:tc>
      </w:tr>
      <w:tr w:rsidR="00913D63" w:rsidRPr="00520FCB" w:rsidTr="00FC1C02">
        <w:trPr>
          <w:jc w:val="center"/>
        </w:trPr>
        <w:tc>
          <w:tcPr>
            <w:tcW w:w="5148" w:type="dxa"/>
          </w:tcPr>
          <w:p w:rsidR="00913D63" w:rsidRPr="00520FCB" w:rsidRDefault="00507158" w:rsidP="00520FCB">
            <w:pPr>
              <w:pStyle w:val="a3"/>
              <w:spacing w:after="0" w:line="240" w:lineRule="auto"/>
              <w:ind w:left="0"/>
            </w:pPr>
            <w:r>
              <w:t xml:space="preserve">α) </w:t>
            </w:r>
            <w:r w:rsidR="00913D63" w:rsidRPr="00520FCB">
              <w:t xml:space="preserve">ΥΤ </w:t>
            </w:r>
            <w:r w:rsidR="008E7760" w:rsidRPr="00520FCB">
              <w:t xml:space="preserve">με ετήσια κατανάλωση </w:t>
            </w:r>
            <w:r w:rsidR="008E7760" w:rsidRPr="008E7760">
              <w:t>κ</w:t>
            </w:r>
            <w:r w:rsidR="008E7760">
              <w:t>άτω</w:t>
            </w:r>
            <w:r w:rsidR="00913D63" w:rsidRPr="00520FCB">
              <w:t xml:space="preserve"> </w:t>
            </w:r>
            <w:r w:rsidR="008E7760">
              <w:t xml:space="preserve">των </w:t>
            </w:r>
            <w:r w:rsidR="00913D63" w:rsidRPr="00520FCB">
              <w:t>100</w:t>
            </w:r>
            <w:r w:rsidR="008E7760">
              <w:t xml:space="preserve"> </w:t>
            </w:r>
            <w:r w:rsidR="008E7760">
              <w:rPr>
                <w:lang w:val="en-US"/>
              </w:rPr>
              <w:t>G</w:t>
            </w:r>
            <w:r w:rsidR="008E7760" w:rsidRPr="00520FCB">
              <w:t>W</w:t>
            </w:r>
            <w:r w:rsidR="008E7760">
              <w:rPr>
                <w:lang w:val="en-US"/>
              </w:rPr>
              <w:t>h</w:t>
            </w:r>
            <w:r w:rsidR="008E7760" w:rsidRPr="00520FCB">
              <w:t xml:space="preserve">  </w:t>
            </w:r>
            <w:r w:rsidR="00913D63" w:rsidRPr="00520FCB">
              <w:t>και</w:t>
            </w:r>
          </w:p>
          <w:p w:rsidR="00913D63" w:rsidRPr="00520FCB" w:rsidRDefault="00507158" w:rsidP="00520FCB">
            <w:pPr>
              <w:pStyle w:val="a3"/>
              <w:spacing w:after="0" w:line="240" w:lineRule="auto"/>
              <w:ind w:left="0"/>
            </w:pPr>
            <w:r>
              <w:t xml:space="preserve">β) </w:t>
            </w:r>
            <w:r w:rsidR="00913D63" w:rsidRPr="00520FCB">
              <w:t xml:space="preserve">ΜΤ με ετήσια κατανάλωση άνω των  13 </w:t>
            </w:r>
            <w:proofErr w:type="spellStart"/>
            <w:r w:rsidR="00913D63" w:rsidRPr="00520FCB">
              <w:t>GWh</w:t>
            </w:r>
            <w:proofErr w:type="spellEnd"/>
            <w:r w:rsidR="00913D63" w:rsidRPr="00520FCB">
              <w:t xml:space="preserve"> </w:t>
            </w:r>
          </w:p>
        </w:tc>
        <w:tc>
          <w:tcPr>
            <w:tcW w:w="1980" w:type="dxa"/>
          </w:tcPr>
          <w:p w:rsidR="00913D63" w:rsidRPr="00520FCB" w:rsidRDefault="00913D63" w:rsidP="00AA6E92">
            <w:pPr>
              <w:pStyle w:val="a3"/>
              <w:spacing w:after="0" w:line="240" w:lineRule="auto"/>
              <w:ind w:left="0"/>
              <w:jc w:val="center"/>
            </w:pPr>
            <w:r w:rsidRPr="00520FCB">
              <w:t>0,90</w:t>
            </w:r>
          </w:p>
        </w:tc>
      </w:tr>
      <w:tr w:rsidR="00913D63" w:rsidRPr="00520FCB" w:rsidTr="00FC1C02">
        <w:trPr>
          <w:jc w:val="center"/>
        </w:trPr>
        <w:tc>
          <w:tcPr>
            <w:tcW w:w="5148" w:type="dxa"/>
          </w:tcPr>
          <w:p w:rsidR="00913D63" w:rsidRPr="00520FCB" w:rsidRDefault="00913D63" w:rsidP="00520FCB">
            <w:pPr>
              <w:pStyle w:val="a3"/>
              <w:spacing w:after="0" w:line="240" w:lineRule="auto"/>
              <w:ind w:left="0"/>
            </w:pPr>
            <w:r w:rsidRPr="00520FCB">
              <w:t>ΜΤ με ετήσια κατανάλωση κάτω των  13</w:t>
            </w:r>
            <w:bookmarkStart w:id="0" w:name="_GoBack"/>
            <w:bookmarkEnd w:id="0"/>
            <w:r w:rsidRPr="00520FCB">
              <w:t xml:space="preserve"> </w:t>
            </w:r>
            <w:proofErr w:type="spellStart"/>
            <w:r w:rsidRPr="00520FCB">
              <w:t>GWh</w:t>
            </w:r>
            <w:proofErr w:type="spellEnd"/>
          </w:p>
        </w:tc>
        <w:tc>
          <w:tcPr>
            <w:tcW w:w="1980" w:type="dxa"/>
          </w:tcPr>
          <w:p w:rsidR="00913D63" w:rsidRPr="00520FCB" w:rsidRDefault="00913D63" w:rsidP="00AA6E92">
            <w:pPr>
              <w:pStyle w:val="a3"/>
              <w:spacing w:after="0" w:line="240" w:lineRule="auto"/>
              <w:ind w:left="0"/>
              <w:jc w:val="center"/>
            </w:pPr>
            <w:r w:rsidRPr="00520FCB">
              <w:t>1</w:t>
            </w:r>
          </w:p>
        </w:tc>
      </w:tr>
      <w:tr w:rsidR="00913D63" w:rsidRPr="00520FCB" w:rsidTr="00FC1C02">
        <w:trPr>
          <w:jc w:val="center"/>
        </w:trPr>
        <w:tc>
          <w:tcPr>
            <w:tcW w:w="5148" w:type="dxa"/>
          </w:tcPr>
          <w:p w:rsidR="00913D63" w:rsidRPr="00520FCB" w:rsidRDefault="00913D63" w:rsidP="00520FCB">
            <w:pPr>
              <w:pStyle w:val="a3"/>
              <w:spacing w:after="0" w:line="240" w:lineRule="auto"/>
              <w:ind w:left="0"/>
            </w:pPr>
            <w:r w:rsidRPr="00520FCB">
              <w:t>ΧΤ</w:t>
            </w:r>
          </w:p>
        </w:tc>
        <w:tc>
          <w:tcPr>
            <w:tcW w:w="1980" w:type="dxa"/>
          </w:tcPr>
          <w:p w:rsidR="00913D63" w:rsidRPr="00520FCB" w:rsidRDefault="00913D63" w:rsidP="00AA6E92">
            <w:pPr>
              <w:pStyle w:val="a3"/>
              <w:spacing w:after="0" w:line="240" w:lineRule="auto"/>
              <w:ind w:left="0"/>
              <w:jc w:val="center"/>
            </w:pPr>
            <w:r w:rsidRPr="00520FCB">
              <w:t>1,3</w:t>
            </w:r>
          </w:p>
        </w:tc>
      </w:tr>
    </w:tbl>
    <w:p w:rsidR="00913D63" w:rsidRPr="00BA2CFE" w:rsidRDefault="00913D63" w:rsidP="00D71B4D">
      <w:pPr>
        <w:pStyle w:val="a3"/>
        <w:ind w:left="360"/>
      </w:pPr>
    </w:p>
    <w:p w:rsidR="00913D63" w:rsidRPr="00D71B4D" w:rsidRDefault="00913D63" w:rsidP="00D71B4D">
      <w:pPr>
        <w:pStyle w:val="a3"/>
        <w:ind w:left="360"/>
      </w:pPr>
      <w:r>
        <w:t xml:space="preserve">Οι συντελεστές αυτοί βασίζονται, τόσο στη συνήθη διαφοροποίηση της τιμής βάσης, λόγω ιδίως του όγκου κατανάλωσης, αλλά και λαμβάνοντας υπ’ όψη τη σαφή διαφοροποίηση μεταξύ των κατηγοριών καταναλωτών όσον αφορά τη μακροχρόνια σταθερότητα και </w:t>
      </w:r>
      <w:proofErr w:type="spellStart"/>
      <w:r>
        <w:t>προβλεψιμότητα</w:t>
      </w:r>
      <w:proofErr w:type="spellEnd"/>
      <w:r>
        <w:t xml:space="preserve"> που έχουν τα φορτία τους. </w:t>
      </w:r>
    </w:p>
    <w:p w:rsidR="00913D63" w:rsidRDefault="00913D63" w:rsidP="00F15337">
      <w:pPr>
        <w:spacing w:after="200" w:line="276" w:lineRule="auto"/>
        <w:ind w:left="426"/>
      </w:pPr>
      <w:r>
        <w:t>Με βάση τα ανωτέρω, το οικονομικό αντάλλαγμα που περιμένει ο πωλητής από τον αγοραστή των προθεσμιακών προϊόντων καθορίζεται δεκαπέντε (15) ημέρες πριν την έναρξη του μήνα τον οποίο αφορά η χρήση των δικαιωμάτων και υπολογίζεται, ανά κατηγορία καταναλωτών,</w:t>
      </w:r>
      <w:r w:rsidRPr="00182663">
        <w:t xml:space="preserve"> </w:t>
      </w:r>
      <w:r>
        <w:t>επί των δικαιωμάτων που αντιστοιχούν στον κάθε προμηθευτή (όπως αυτά καθορίζονται σύμφωνα με την παράγραφο 8 ανωτέρω) επί της τιμής αγοράς που προκύπτει ανά κατηγορία καταναλωτών, εφ</w:t>
      </w:r>
      <w:r w:rsidR="00C0163D">
        <w:t xml:space="preserve">’ </w:t>
      </w:r>
      <w:r>
        <w:t xml:space="preserve">όσον εφαρμοστεί ο ανωτέρω ΣΔΤ στην τιμή αναφοράς που κατακυρώθηκε από τη δημοπρασία.  </w:t>
      </w:r>
    </w:p>
    <w:p w:rsidR="00913D63" w:rsidRPr="007566CA" w:rsidRDefault="00913D63" w:rsidP="00F15337">
      <w:pPr>
        <w:spacing w:after="200" w:line="276" w:lineRule="auto"/>
        <w:ind w:left="426"/>
      </w:pPr>
      <w:r>
        <w:t>Συνεπώς, το προϊόν που κατακυρώθηκε μέσω της δημοπρασίας σε κ</w:t>
      </w:r>
      <w:r w:rsidR="00E67154">
        <w:t>άθε προμηθευτή λειτουργεί επί τη</w:t>
      </w:r>
      <w:r>
        <w:t xml:space="preserve">ς ουσίας μόνο ως ανώτερο όριο για την πραγματοποίηση της συναλλαγής επί των δικαιωμάτων που υπολογίζονται για κάθε προμηθευτή. Αν ο προμηθευτής δεν έχει τη δυνατότητα, λόγω των τελικών δικαιωμάτων που υπολογίζονται για τους τρέχοντες πελάτες του, να χρησιμοποιήσει το προϊόν που έχει δεσμεύσει μέσω της δημοπρασίας, χάνει το ποσοστό προκαταβολής που αντιστοιχεί στις επιπλέον ποσότητες, πέραν του ορίου ανοχής που καθορίζεται στην παράγραφο 14. Η ΡΑΕ θα παρακολουθεί τη χρήση των προϊόντων από τους προμηθευτές και, αν διαπιστωθούν πρακτικές χειραγώγησης της αγοράς προθεσμιακών προϊόντων, θα επιβάλλονται και διοικητικά πρόστιμα. </w:t>
      </w:r>
    </w:p>
    <w:p w:rsidR="00913D63" w:rsidRDefault="00913D63" w:rsidP="00FB2E60">
      <w:pPr>
        <w:pStyle w:val="a3"/>
        <w:numPr>
          <w:ilvl w:val="0"/>
          <w:numId w:val="1"/>
        </w:numPr>
        <w:tabs>
          <w:tab w:val="left" w:pos="142"/>
        </w:tabs>
        <w:spacing w:after="200" w:line="276" w:lineRule="auto"/>
      </w:pPr>
      <w:r>
        <w:rPr>
          <w:b/>
        </w:rPr>
        <w:t xml:space="preserve">Μεταφορά προθεσμιακού </w:t>
      </w:r>
      <w:r w:rsidR="00E67154">
        <w:rPr>
          <w:b/>
        </w:rPr>
        <w:t>π</w:t>
      </w:r>
      <w:r>
        <w:rPr>
          <w:b/>
        </w:rPr>
        <w:t>ροϊόντος</w:t>
      </w:r>
      <w:r w:rsidRPr="00182663">
        <w:rPr>
          <w:b/>
        </w:rPr>
        <w:t xml:space="preserve">: </w:t>
      </w:r>
      <w:r w:rsidRPr="00713C3A">
        <w:t xml:space="preserve">Κάθε προμηθευτής </w:t>
      </w:r>
      <w:r>
        <w:t>διατηρεί το δικαίωμα να μεταφέρει σε άλλο προμηθευτή (που πληροί τις προϋποθέσεις συμμετοχής της παραγράφου 2) μέρος ή σύνολο των προθεσμιακών προϊόντων που αγόρασε σε μια δημοπρασία, μέχρι και δεκατέσσερις (14) ημέρες πριν τον ημερολογιακό μήνα στο οποίον πρόκειται να γίνει χρήση των σχετικών δικαιωμάτων. Η μεταφορά κοινοποιείται στον αντισυμβαλλόμενο πωλητή και στο ΛΑΓΗΕ, και όλες οι σχετικές υποχρεώσεις και δικαιώματα του αρχικού προμηθευτή μεταφέρονται στο νέο προμηθευτή. Διευκρινίζεται ότι η μεταφορά προθεσμιακών προϊόντων δεν επηρεάζει τα δικαιώματα χρήσης των προμηθευτών, καθώς αυτά εξαρτώνται αποκλειστικά από το προφίλ των πελατών που εκπροσωπούν. Με τη μεταφορά αλλάζει μόνο το ανώτερο όριο χρησιμοποίησης σχετικών δικαιωμάτων.</w:t>
      </w:r>
    </w:p>
    <w:p w:rsidR="00913D63" w:rsidRDefault="00913D63" w:rsidP="007566CA">
      <w:pPr>
        <w:pStyle w:val="a3"/>
        <w:tabs>
          <w:tab w:val="left" w:pos="142"/>
        </w:tabs>
        <w:spacing w:after="200" w:line="276" w:lineRule="auto"/>
        <w:ind w:left="360"/>
      </w:pPr>
    </w:p>
    <w:p w:rsidR="00913D63" w:rsidRDefault="00913D63" w:rsidP="00182663">
      <w:pPr>
        <w:pStyle w:val="a3"/>
        <w:numPr>
          <w:ilvl w:val="0"/>
          <w:numId w:val="1"/>
        </w:numPr>
        <w:tabs>
          <w:tab w:val="left" w:pos="142"/>
        </w:tabs>
        <w:spacing w:after="200" w:line="276" w:lineRule="auto"/>
      </w:pPr>
      <w:r w:rsidRPr="0090265C">
        <w:rPr>
          <w:b/>
        </w:rPr>
        <w:lastRenderedPageBreak/>
        <w:t xml:space="preserve">Καταβολή </w:t>
      </w:r>
      <w:r>
        <w:rPr>
          <w:b/>
        </w:rPr>
        <w:t>πληρωμής</w:t>
      </w:r>
      <w:r w:rsidRPr="0090265C">
        <w:rPr>
          <w:b/>
        </w:rPr>
        <w:t xml:space="preserve"> για χρήση δικαιωμάτων τον επόμενο μήνα</w:t>
      </w:r>
      <w:r w:rsidRPr="00182663">
        <w:t>:</w:t>
      </w:r>
      <w:r w:rsidRPr="00F15337">
        <w:t xml:space="preserve"> Ο αγορ</w:t>
      </w:r>
      <w:r>
        <w:t>α</w:t>
      </w:r>
      <w:r w:rsidRPr="00F15337">
        <w:t xml:space="preserve">στής </w:t>
      </w:r>
      <w:r>
        <w:t xml:space="preserve">προθεσμιακού προϊόντος προκειμένου να διατηρεί δικαίωμα χρήσης του προϊόντος για τον επόμενο ημερολογιακό μήνα και, συνεπώς, να είναι δυνατό να αφαιρούνται αντίστοιχες ποσότητες ενέργειας από τις υποχρεώσεις κάλυψης των πελατών του μέσω ΗΕΠ, υποχρεούται, δέκα (10) ημέρες πριν την έναρξη του μήνα, να καταβάλει στο ΛΑΓΗΕ </w:t>
      </w:r>
      <w:r w:rsidRPr="00E67154">
        <w:t>προπληρωμή, η οποία υπολογίζεται ως το 50% του οικονομικού ανταλλάγματος που</w:t>
      </w:r>
      <w:r>
        <w:t xml:space="preserve"> προκύπτει σύμφωνα με τις παραγράφους 8 και 9.    </w:t>
      </w:r>
    </w:p>
    <w:p w:rsidR="00913D63" w:rsidRDefault="00913D63" w:rsidP="00182663">
      <w:pPr>
        <w:pStyle w:val="a3"/>
        <w:tabs>
          <w:tab w:val="left" w:pos="142"/>
        </w:tabs>
        <w:spacing w:after="200" w:line="276" w:lineRule="auto"/>
        <w:ind w:left="360"/>
        <w:rPr>
          <w:b/>
        </w:rPr>
      </w:pPr>
    </w:p>
    <w:p w:rsidR="00913D63" w:rsidRPr="00BB297B" w:rsidRDefault="00913D63" w:rsidP="00B93588">
      <w:pPr>
        <w:pStyle w:val="a3"/>
        <w:numPr>
          <w:ilvl w:val="0"/>
          <w:numId w:val="1"/>
        </w:numPr>
        <w:tabs>
          <w:tab w:val="left" w:pos="142"/>
        </w:tabs>
        <w:spacing w:after="200" w:line="276" w:lineRule="auto"/>
      </w:pPr>
      <w:r>
        <w:rPr>
          <w:b/>
        </w:rPr>
        <w:t>Επαναγορά</w:t>
      </w:r>
      <w:r w:rsidRPr="004A535A">
        <w:rPr>
          <w:b/>
        </w:rPr>
        <w:t xml:space="preserve"> προθεσμιακών προϊόντων</w:t>
      </w:r>
      <w:r w:rsidRPr="00182663">
        <w:rPr>
          <w:b/>
        </w:rPr>
        <w:t xml:space="preserve">: </w:t>
      </w:r>
      <w:r w:rsidRPr="00182663">
        <w:t xml:space="preserve">Δημιουργείται μηχανισμός </w:t>
      </w:r>
      <w:r>
        <w:t xml:space="preserve">επαναγοράς δικαιωμάτων προθεσμιακών προϊόντων, ώστε οι τελικοί </w:t>
      </w:r>
      <w:r w:rsidRPr="00182663">
        <w:rPr>
          <w:b/>
        </w:rPr>
        <w:t>καταναλωτές που διαθέτουν δυνατότητα διαχείρισης του φορτίου τους</w:t>
      </w:r>
      <w:r>
        <w:t xml:space="preserve"> να μπορούν να εισπράττουν σχετικό όφελος, προσφέροντας το προϊόν στους καταναλωτές εκείνους που δεν διαθέτουν σχετική δυνατότητα,</w:t>
      </w:r>
      <w:r w:rsidRPr="004F3A0D">
        <w:t xml:space="preserve"> </w:t>
      </w:r>
      <w:r>
        <w:t>σε υψηλότερη τιμή. Για αρχικό</w:t>
      </w:r>
      <w:r w:rsidRPr="00BB297B">
        <w:t xml:space="preserve"> μεταβατικό διάστημα </w:t>
      </w:r>
      <w:r>
        <w:t xml:space="preserve">και έως ότου δημιουργηθεί ικανή ρευστότητα στην αγορά προμήθειας, η οποία θα δίνει τη δυνατότητα στους προμηθευτές να διαχειριστούν μεταξύ τους και σε ελεύθερη βάση τα θέματα μεταπώλησης μεταξύ κατηγοριών καταναλωτών, και με δεδομένο ότι η ΔΕΗ εξακολουθεί να κατέχει υπέρμετρα υψηλό μερίδιο στους καταναλωτές ΧΤ (οι οποίοι κατά κύριο λόγο δεν διαθέτουν δυνατότητα διαχείρισης του φορτίου τους), επιβάλλεται υποχρέωση στη ΔΕΗ Α.Ε., ως εκπροσώπου φορτίου, να </w:t>
      </w:r>
      <w:proofErr w:type="spellStart"/>
      <w:r>
        <w:t>επαναγοράζει</w:t>
      </w:r>
      <w:proofErr w:type="spellEnd"/>
      <w:r>
        <w:t xml:space="preserve"> μέρος του προθεσμιακού προϊόντος των ανεξάρτητων προμηθευτών εντός συγκεκριμένου, αυστηρά ρυθμιζόμενου πλαισίου. Για τους ανεξάρτητους προμηθευτές που επιθυμούν να κάνουν χρήση της δυνατότητας α</w:t>
      </w:r>
      <w:r w:rsidR="0050529A">
        <w:t xml:space="preserve">υτής, η ΔΕΗ υποχρεούται να </w:t>
      </w:r>
      <w:proofErr w:type="spellStart"/>
      <w:r w:rsidR="0050529A">
        <w:t>επαν</w:t>
      </w:r>
      <w:r>
        <w:t>αγοράζει</w:t>
      </w:r>
      <w:proofErr w:type="spellEnd"/>
      <w:r>
        <w:t xml:space="preserve"> εκείνο το μέρος του προθεσμιακού προϊόντος που αντιστοιχεί στις υπολειπόμενες ώρες των ωρών ελαχίστου κατανάλωσης, για τις οποίες και προσδιορίζεται το δικαίωμα σε προθεσμιακό προϊόν. Η επαναγορά πραγματοποιείται κεντρικά, μέσω του ΛΑΓΗΕ, σε τιμή που καθορίζεται, ανά ώρα,</w:t>
      </w:r>
      <w:r w:rsidDel="00E1507C">
        <w:t xml:space="preserve"> </w:t>
      </w:r>
      <w:r>
        <w:t xml:space="preserve">βάσει της τρέχουσας τιμής του Ημερήσιου Ενεργειακού Προγραμματισμού. Ωστόσο, το έσοδο του ανεξάρτητου προμηθευτή από τη συναλλαγή της επαναγοράς παραμένει ρυθμιζόμενο. Συγκεκριμένα, τίθεται ανώτατο όριο στο έσοδο του προμηθευτή από τη συναλλαγή της επαναγοράς, το οποίο δεν μπορεί να υπερβαίνει το ποσό που ο προμηθευτής είχε αρχικά καταβάλει στον </w:t>
      </w:r>
      <w:r w:rsidRPr="0093399C">
        <w:t xml:space="preserve">πωλητή για την απόκτηση των σχετικών δικαιωμάτων, προσαυξημένο κατά </w:t>
      </w:r>
      <w:r w:rsidRPr="00BA2CFE">
        <w:t>20</w:t>
      </w:r>
      <w:r>
        <w:t>%. Η διαδικασία της επαναγοράς διενεργείται μέσω του ΛΑΓΗΕ, στην ημερήσια εκκαθάριση του ΗΕΠ</w:t>
      </w:r>
      <w:r w:rsidRPr="0050529A">
        <w:t>.</w:t>
      </w:r>
      <w:r>
        <w:rPr>
          <w:b/>
        </w:rPr>
        <w:t xml:space="preserve"> </w:t>
      </w:r>
    </w:p>
    <w:p w:rsidR="00913D63" w:rsidRPr="00BB297B" w:rsidRDefault="00913D63" w:rsidP="00BB297B">
      <w:pPr>
        <w:pStyle w:val="a3"/>
        <w:rPr>
          <w:b/>
        </w:rPr>
      </w:pPr>
    </w:p>
    <w:p w:rsidR="00913D63" w:rsidRPr="00B2554F" w:rsidRDefault="00913D63" w:rsidP="000053C2">
      <w:pPr>
        <w:pStyle w:val="a3"/>
        <w:numPr>
          <w:ilvl w:val="0"/>
          <w:numId w:val="1"/>
        </w:numPr>
        <w:tabs>
          <w:tab w:val="left" w:pos="142"/>
        </w:tabs>
        <w:spacing w:after="200" w:line="276" w:lineRule="auto"/>
      </w:pPr>
      <w:r w:rsidRPr="00B2554F">
        <w:rPr>
          <w:b/>
        </w:rPr>
        <w:t>Εκκαθάριση ποσοτήτων στον ΗΕΠ</w:t>
      </w:r>
      <w:r w:rsidRPr="00182663">
        <w:rPr>
          <w:b/>
        </w:rPr>
        <w:t xml:space="preserve">: </w:t>
      </w:r>
      <w:r w:rsidRPr="003646CB">
        <w:t>Ο ΛΑΓΗΕ</w:t>
      </w:r>
      <w:r>
        <w:t>, κατά τις ημερήσιες εκκαθαρίσεις και σε ωριαία βάση,</w:t>
      </w:r>
      <w:r w:rsidRPr="00B2554F">
        <w:rPr>
          <w:b/>
        </w:rPr>
        <w:t xml:space="preserve"> </w:t>
      </w:r>
      <w:r>
        <w:t>εξαιρεί τις ποσότητες ενέργειας</w:t>
      </w:r>
      <w:r w:rsidRPr="00B2554F" w:rsidDel="00CA0552">
        <w:t xml:space="preserve"> </w:t>
      </w:r>
      <w:r>
        <w:t xml:space="preserve">που αντιστοιχούν σε εξάσκηση δικαιωμάτων προθεσμιακών προϊόντων από τις ποσότητες ενέργειας που θα εκκαθαριστούν στην ΟΤΣ και υπολογίζει τις σχετικές </w:t>
      </w:r>
      <w:proofErr w:type="spellStart"/>
      <w:r>
        <w:t>χρηματορροές</w:t>
      </w:r>
      <w:proofErr w:type="spellEnd"/>
      <w:r>
        <w:t>, αφού λάβει υπ’ όψη και τις διαδικασίες επαναγοράς της προηγούμενης παραγράφου.</w:t>
      </w:r>
    </w:p>
    <w:p w:rsidR="00913D63" w:rsidRPr="00C82A0C" w:rsidRDefault="00913D63" w:rsidP="00C82A0C">
      <w:pPr>
        <w:pStyle w:val="a3"/>
        <w:tabs>
          <w:tab w:val="left" w:pos="142"/>
        </w:tabs>
        <w:spacing w:after="200" w:line="276" w:lineRule="auto"/>
        <w:ind w:left="360"/>
        <w:rPr>
          <w:b/>
        </w:rPr>
      </w:pPr>
    </w:p>
    <w:p w:rsidR="00913D63" w:rsidRDefault="00913D63" w:rsidP="001E343C">
      <w:pPr>
        <w:pStyle w:val="a3"/>
        <w:numPr>
          <w:ilvl w:val="0"/>
          <w:numId w:val="1"/>
        </w:numPr>
        <w:tabs>
          <w:tab w:val="left" w:pos="142"/>
        </w:tabs>
        <w:spacing w:after="200" w:line="276" w:lineRule="auto"/>
        <w:ind w:left="426" w:hanging="426"/>
      </w:pPr>
      <w:r w:rsidRPr="00BF616C">
        <w:rPr>
          <w:b/>
        </w:rPr>
        <w:t xml:space="preserve">Έλεγχος δικαιωμάτων και επιστροφή προθεσμιακών προϊόντων: </w:t>
      </w:r>
      <w:r w:rsidRPr="006B24FF">
        <w:t xml:space="preserve">Ο έλεγχος αυτός γίνεται αποκλειστικά στη βάση των </w:t>
      </w:r>
      <w:r>
        <w:t xml:space="preserve">πραγματικών </w:t>
      </w:r>
      <w:r w:rsidRPr="006B24FF">
        <w:t xml:space="preserve">καταναλώσεων κατά την περίοδο </w:t>
      </w:r>
      <w:r>
        <w:t>ελαχίστου κατανάλωσης</w:t>
      </w:r>
      <w:r w:rsidRPr="006B24FF">
        <w:t>.</w:t>
      </w:r>
      <w:r w:rsidRPr="00BF616C">
        <w:rPr>
          <w:b/>
        </w:rPr>
        <w:t xml:space="preserve"> </w:t>
      </w:r>
      <w:r w:rsidRPr="003646CB">
        <w:t>Ο ΛΑΓΗΕ</w:t>
      </w:r>
      <w:r>
        <w:t xml:space="preserve">, μετά το τέλος κάθε μήνα για τους καταναλωτές με ωριαία μέτρηση φορτίου (και στη βάση πιστοποιημένων μετρήσεων που διαθέτουν οι ΔΕΔΔΗΕ/ΑΔΜΗΕ), υπολογίζει την πραγματικά καταναλωθείσα ενέργεια τις ώρες ελαχίστου κατανάλωσης του μήνα, οι οποίες ορίζονται ως οι ώρες </w:t>
      </w:r>
      <w:r w:rsidRPr="00182663">
        <w:t>0:00-</w:t>
      </w:r>
      <w:r>
        <w:t>10</w:t>
      </w:r>
      <w:r w:rsidRPr="00182663">
        <w:t>:00</w:t>
      </w:r>
      <w:r>
        <w:t xml:space="preserve"> τις </w:t>
      </w:r>
      <w:r w:rsidRPr="00B40D07">
        <w:t>καθημερινές και 0.00-24.00 τα Σαββατοκύριακα</w:t>
      </w:r>
      <w:r>
        <w:t xml:space="preserve">, και επαναλαμβάνει τη διαδικασία υπολογισμού δικαιωμάτων για κάθε προμηθευτή. Σε περίπτωση που οι ποσότητες των </w:t>
      </w:r>
      <w:r>
        <w:lastRenderedPageBreak/>
        <w:t xml:space="preserve">δικαιωμάτων ενός προμηθευτή, όπως αυτές υπολογίζονται εκ των προτέρων σύμφωνα με την παράγραφο 8, είναι </w:t>
      </w:r>
      <w:r w:rsidRPr="00E672B4">
        <w:t xml:space="preserve">μέχρι </w:t>
      </w:r>
      <w:r w:rsidRPr="00BA2CFE">
        <w:t>και 15%</w:t>
      </w:r>
      <w:r w:rsidRPr="00E672B4">
        <w:t xml:space="preserve"> μεγαλύτερ</w:t>
      </w:r>
      <w:r>
        <w:t xml:space="preserve">ες, σε σχέση με τις ποσότητες των δικαιωμάτων που υπολογίζονται στη βάση των πιστοποιημένων μετρούμενων καταναλώσεων κατά τις ώρες ελαχίστου κατανάλωσης, τότε ο ΛΑΓΗΕ, στις τελικές εκκαθαρίσεις, επιστρέφει το επιπλέον προϊόν στον πωλητή, χωρίς καμία επιβάρυνση για τον προμηθευτή-αγοραστή του προϊόντος. Η επιστροφή προϊόντος συνοδεύεται από αντίστοιχη επιστροφή της προ-πληρωμής και της προκαταβολής που κατέβαλε ο αγοραστής.  Σε περίπτωση που οι ποσότητες των δικαιωμάτων ενός προμηθευτή, όπως αυτές υπολογίζονται εκ των προτέρων σύμφωνα με την παράγραφο 8, είναι άνω του 15% </w:t>
      </w:r>
      <w:r w:rsidRPr="00E672B4">
        <w:t>μεγαλύτερ</w:t>
      </w:r>
      <w:r>
        <w:t xml:space="preserve">ες σε σχέση με τις ποσότητες των δικαιωμάτων που υπολογίζονται στη βάση των πιστοποιημένων μετρούμενων καταναλώσεων κατά τις ώρες ελαχίστου, τότε η επιστροφή του προϊόντος πραγματοποιείται με πρόστιμο. Συγκεκριμένα, στην περίπτωση αυτή, η επιστροφή προϊόντος συνοδεύεται από αντίστοιχη επιστροφή της προ-πληρωμής που κατέβαλε ο αγοραστής, αφού </w:t>
      </w:r>
      <w:proofErr w:type="spellStart"/>
      <w:r>
        <w:t>παρακρατηθεί</w:t>
      </w:r>
      <w:proofErr w:type="spellEnd"/>
      <w:r>
        <w:t xml:space="preserve"> η προκαταβολή που αντιστοιχεί στις συγκεκριμένες ποσότητες. Ειδικά κατά τον έλεγχο καταναλώσεων εντός της περιόδου ελαχίστου που αντιστοιχεί σε Σαββατοκύριακα, η παρακράτηση προκαταβολής πραγματοποιείται σε ποσοστό 20%. Τα ποσά αυτά διευθετούνται μέσω του ΛΑΓΗΕ. Με την εκκαθάριση των μετρήσεων στο δίκτυο (κάθε εξάμηνο), ο ΛΑΓΗΕ, κατόπιν υποβολής σχετικών στοιχείων από το ΔΕΔΔΗΕ, θα εφαρμόζει αντίστοιχο έλεγχο και για τις καταναλώσεις χωρίς ωριαία μέτρηση, στη βάση των εκ των υστέρων συντελεστών εκπροσώπησης που </w:t>
      </w:r>
      <w:r w:rsidRPr="006B762C">
        <w:t>υπολογίζει ο ΔΕΔΔΗΕ. Ωστόσο</w:t>
      </w:r>
      <w:r>
        <w:t>,</w:t>
      </w:r>
      <w:r w:rsidRPr="006B762C">
        <w:t xml:space="preserve"> για τις καταναλώσεις αυτές</w:t>
      </w:r>
      <w:r>
        <w:t>,</w:t>
      </w:r>
      <w:r w:rsidRPr="006B762C">
        <w:t xml:space="preserve"> το όριο ανοχής προσαυξάνεται σε </w:t>
      </w:r>
      <w:r w:rsidRPr="00BA2CFE">
        <w:t>30%</w:t>
      </w:r>
      <w:r w:rsidRPr="006B762C">
        <w:t>.</w:t>
      </w:r>
      <w:r>
        <w:t xml:space="preserve">   </w:t>
      </w:r>
    </w:p>
    <w:p w:rsidR="00913D63" w:rsidRPr="00AA51EB" w:rsidRDefault="00913D63" w:rsidP="00992216">
      <w:pPr>
        <w:keepNext/>
        <w:rPr>
          <w:b/>
          <w:u w:val="single"/>
        </w:rPr>
      </w:pPr>
    </w:p>
    <w:sectPr w:rsidR="00913D63" w:rsidRPr="00AA51EB" w:rsidSect="00AA6E92">
      <w:footerReference w:type="default" r:id="rId7"/>
      <w:pgSz w:w="11906" w:h="16838"/>
      <w:pgMar w:top="1134" w:right="1701" w:bottom="1134" w:left="1701"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89" w:rsidRDefault="002D4589" w:rsidP="00992216">
      <w:pPr>
        <w:spacing w:after="0" w:line="240" w:lineRule="auto"/>
      </w:pPr>
      <w:r>
        <w:separator/>
      </w:r>
    </w:p>
  </w:endnote>
  <w:endnote w:type="continuationSeparator" w:id="0">
    <w:p w:rsidR="002D4589" w:rsidRDefault="002D4589" w:rsidP="0099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D63" w:rsidRDefault="00402B68">
    <w:pPr>
      <w:pStyle w:val="a4"/>
      <w:jc w:val="right"/>
    </w:pPr>
    <w:r>
      <w:fldChar w:fldCharType="begin"/>
    </w:r>
    <w:r>
      <w:instrText>PAGE   \* MERGEFORMAT</w:instrText>
    </w:r>
    <w:r>
      <w:fldChar w:fldCharType="separate"/>
    </w:r>
    <w:r w:rsidR="008E7760">
      <w:rPr>
        <w:noProof/>
      </w:rPr>
      <w:t>8</w:t>
    </w:r>
    <w:r>
      <w:rPr>
        <w:noProof/>
      </w:rPr>
      <w:fldChar w:fldCharType="end"/>
    </w:r>
  </w:p>
  <w:p w:rsidR="00913D63" w:rsidRDefault="00913D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89" w:rsidRDefault="002D4589" w:rsidP="00992216">
      <w:pPr>
        <w:spacing w:after="0" w:line="240" w:lineRule="auto"/>
      </w:pPr>
      <w:r>
        <w:separator/>
      </w:r>
    </w:p>
  </w:footnote>
  <w:footnote w:type="continuationSeparator" w:id="0">
    <w:p w:rsidR="002D4589" w:rsidRDefault="002D4589" w:rsidP="00992216">
      <w:pPr>
        <w:spacing w:after="0" w:line="240" w:lineRule="auto"/>
      </w:pPr>
      <w:r>
        <w:continuationSeparator/>
      </w:r>
    </w:p>
  </w:footnote>
  <w:footnote w:id="1">
    <w:p w:rsidR="00913D63" w:rsidRDefault="00913D63" w:rsidP="00BC4DB8">
      <w:pPr>
        <w:pStyle w:val="ab"/>
      </w:pPr>
      <w:r>
        <w:rPr>
          <w:rStyle w:val="ac"/>
        </w:rPr>
        <w:footnoteRef/>
      </w:r>
      <w:r>
        <w:t xml:space="preserve"> </w:t>
      </w:r>
      <w:r w:rsidRPr="00F20A75">
        <w:rPr>
          <w:sz w:val="18"/>
          <w:szCs w:val="18"/>
        </w:rPr>
        <w:t xml:space="preserve">Εναλλακτικά, η δημοπρατούμενη ηλεκτροπαραγωγή θα μπορούσε να διατίθεται και στην </w:t>
      </w:r>
      <w:proofErr w:type="spellStart"/>
      <w:r w:rsidRPr="00F20A75">
        <w:rPr>
          <w:sz w:val="18"/>
          <w:szCs w:val="18"/>
        </w:rPr>
        <w:t>χονδρεμπορική</w:t>
      </w:r>
      <w:proofErr w:type="spellEnd"/>
      <w:r w:rsidRPr="00F20A75">
        <w:rPr>
          <w:sz w:val="18"/>
          <w:szCs w:val="18"/>
        </w:rPr>
        <w:t xml:space="preserve"> αγορά</w:t>
      </w:r>
      <w:r>
        <w:rPr>
          <w:sz w:val="18"/>
          <w:szCs w:val="18"/>
        </w:rPr>
        <w:t>,</w:t>
      </w:r>
      <w:r w:rsidRPr="00F20A75">
        <w:rPr>
          <w:sz w:val="18"/>
          <w:szCs w:val="18"/>
        </w:rPr>
        <w:t xml:space="preserve"> σε αντίθεση με τον προτεινόμενο σχεδιασμό</w:t>
      </w:r>
      <w:r>
        <w:rPr>
          <w:sz w:val="18"/>
          <w:szCs w:val="18"/>
        </w:rPr>
        <w:t>,</w:t>
      </w:r>
      <w:r w:rsidRPr="00F20A75">
        <w:rPr>
          <w:sz w:val="18"/>
          <w:szCs w:val="18"/>
        </w:rPr>
        <w:t xml:space="preserve"> </w:t>
      </w:r>
      <w:r>
        <w:rPr>
          <w:sz w:val="18"/>
          <w:szCs w:val="18"/>
        </w:rPr>
        <w:t xml:space="preserve">σύμφωνα με τον οποίο </w:t>
      </w:r>
      <w:r w:rsidRPr="00F20A75">
        <w:rPr>
          <w:sz w:val="18"/>
          <w:szCs w:val="18"/>
        </w:rPr>
        <w:t xml:space="preserve">η διάθεση της δημοπρατούμενης ενέργειας περιορίζεται στη </w:t>
      </w:r>
      <w:proofErr w:type="spellStart"/>
      <w:r w:rsidRPr="00F20A75">
        <w:rPr>
          <w:sz w:val="18"/>
          <w:szCs w:val="18"/>
        </w:rPr>
        <w:t>λιανεμπορική</w:t>
      </w:r>
      <w:proofErr w:type="spellEnd"/>
      <w:r>
        <w:rPr>
          <w:sz w:val="18"/>
          <w:szCs w:val="18"/>
        </w:rPr>
        <w:t>.</w:t>
      </w:r>
    </w:p>
  </w:footnote>
  <w:footnote w:id="2">
    <w:p w:rsidR="00913D63" w:rsidRDefault="00913D63" w:rsidP="00992216">
      <w:pPr>
        <w:pStyle w:val="ab"/>
      </w:pPr>
      <w:r>
        <w:rPr>
          <w:rStyle w:val="ac"/>
        </w:rPr>
        <w:footnoteRef/>
      </w:r>
      <w:r>
        <w:t xml:space="preserve"> </w:t>
      </w:r>
      <w:r w:rsidRPr="00F20A75">
        <w:rPr>
          <w:sz w:val="18"/>
          <w:szCs w:val="18"/>
        </w:rPr>
        <w:t xml:space="preserve">Ο προτεινόμενος σχεδιασμός δεν αφορά προθεσμιακά προϊόντα που σχετίζονται με παραγωγή από </w:t>
      </w:r>
      <w:proofErr w:type="spellStart"/>
      <w:r w:rsidRPr="00F20A75">
        <w:rPr>
          <w:sz w:val="18"/>
          <w:szCs w:val="18"/>
        </w:rPr>
        <w:t>Αεριοστροβιλικές</w:t>
      </w:r>
      <w:proofErr w:type="spellEnd"/>
      <w:r w:rsidRPr="00F20A75">
        <w:rPr>
          <w:sz w:val="18"/>
          <w:szCs w:val="18"/>
        </w:rPr>
        <w:t xml:space="preserve"> Μονάδες Συνδυασμένου Κύκλου (CCGT), αφού ο σχεδιασμός έχει στόχο την πρόσβαση ανεξάρτητων προμηθευτών σε χαμηλού κόστους παραγωγή.</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489"/>
    <w:multiLevelType w:val="multilevel"/>
    <w:tmpl w:val="BDC499EC"/>
    <w:lvl w:ilvl="0">
      <w:start w:val="1"/>
      <w:numFmt w:val="decimal"/>
      <w:lvlText w:val="%1."/>
      <w:lvlJc w:val="left"/>
      <w:pPr>
        <w:ind w:left="900" w:hanging="36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2EB22D2"/>
    <w:multiLevelType w:val="multilevel"/>
    <w:tmpl w:val="00365082"/>
    <w:lvl w:ilvl="0">
      <w:start w:val="1"/>
      <w:numFmt w:val="lowerRoman"/>
      <w:lvlText w:val="%1)"/>
      <w:lvlJc w:val="left"/>
      <w:pPr>
        <w:ind w:left="2340" w:hanging="72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2">
    <w:nsid w:val="0BD0552A"/>
    <w:multiLevelType w:val="hybridMultilevel"/>
    <w:tmpl w:val="D1227A3E"/>
    <w:lvl w:ilvl="0" w:tplc="B0543168">
      <w:start w:val="1"/>
      <w:numFmt w:val="decimal"/>
      <w:lvlText w:val="%1."/>
      <w:lvlJc w:val="left"/>
      <w:pPr>
        <w:ind w:left="360" w:hanging="360"/>
      </w:pPr>
      <w:rPr>
        <w:rFonts w:cs="Times New Roman" w:hint="default"/>
        <w:b/>
        <w:i w:val="0"/>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C8C112C"/>
    <w:multiLevelType w:val="hybridMultilevel"/>
    <w:tmpl w:val="F334AF02"/>
    <w:lvl w:ilvl="0" w:tplc="8F30BE84">
      <w:start w:val="1"/>
      <w:numFmt w:val="decimal"/>
      <w:lvlText w:val="%1."/>
      <w:lvlJc w:val="left"/>
      <w:pPr>
        <w:ind w:left="360" w:hanging="360"/>
      </w:pPr>
      <w:rPr>
        <w:rFonts w:cs="Times New Roman" w:hint="default"/>
        <w:b w:val="0"/>
        <w:u w:val="none"/>
      </w:rPr>
    </w:lvl>
    <w:lvl w:ilvl="1" w:tplc="79149294">
      <w:start w:val="1"/>
      <w:numFmt w:val="lowerRoman"/>
      <w:lvlText w:val="%2."/>
      <w:lvlJc w:val="left"/>
      <w:pPr>
        <w:tabs>
          <w:tab w:val="num" w:pos="1440"/>
        </w:tabs>
        <w:ind w:left="1440" w:hanging="360"/>
      </w:pPr>
      <w:rPr>
        <w:rFonts w:cs="Times New Roman" w:hint="default"/>
        <w:b w:val="0"/>
        <w:u w:val="none"/>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6310C45"/>
    <w:multiLevelType w:val="multilevel"/>
    <w:tmpl w:val="F334AF02"/>
    <w:lvl w:ilvl="0">
      <w:start w:val="1"/>
      <w:numFmt w:val="decimal"/>
      <w:lvlText w:val="%1."/>
      <w:lvlJc w:val="left"/>
      <w:pPr>
        <w:ind w:left="900" w:hanging="360"/>
      </w:pPr>
      <w:rPr>
        <w:rFonts w:cs="Times New Roman" w:hint="default"/>
        <w:b w:val="0"/>
        <w:u w:val="none"/>
      </w:rPr>
    </w:lvl>
    <w:lvl w:ilvl="1">
      <w:start w:val="1"/>
      <w:numFmt w:val="lowerRoman"/>
      <w:lvlText w:val="%2."/>
      <w:lvlJc w:val="left"/>
      <w:pPr>
        <w:tabs>
          <w:tab w:val="num" w:pos="1440"/>
        </w:tabs>
        <w:ind w:left="1440" w:hanging="360"/>
      </w:pPr>
      <w:rPr>
        <w:rFonts w:cs="Times New Roman" w:hint="default"/>
        <w:b w:val="0"/>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6F085E"/>
    <w:multiLevelType w:val="multilevel"/>
    <w:tmpl w:val="C4905B46"/>
    <w:lvl w:ilvl="0">
      <w:start w:val="1"/>
      <w:numFmt w:val="lowerRoman"/>
      <w:lvlText w:val="%1)"/>
      <w:lvlJc w:val="left"/>
      <w:pPr>
        <w:tabs>
          <w:tab w:val="num" w:pos="2340"/>
        </w:tabs>
        <w:ind w:left="2340" w:hanging="720"/>
      </w:pPr>
      <w:rPr>
        <w:rFonts w:cs="Times New Roman" w:hint="default"/>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nsid w:val="1B9B50A2"/>
    <w:multiLevelType w:val="multilevel"/>
    <w:tmpl w:val="7EECB6E6"/>
    <w:lvl w:ilvl="0">
      <w:start w:val="19"/>
      <w:numFmt w:val="decimal"/>
      <w:lvlText w:val="%1."/>
      <w:lvlJc w:val="left"/>
      <w:pPr>
        <w:ind w:left="1080" w:hanging="360"/>
      </w:pPr>
      <w:rPr>
        <w:rFonts w:cs="Times New Roman" w:hint="default"/>
        <w:sz w:val="22"/>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
    <w:nsid w:val="1C3F5940"/>
    <w:multiLevelType w:val="hybridMultilevel"/>
    <w:tmpl w:val="66786D94"/>
    <w:lvl w:ilvl="0" w:tplc="000E8E3C">
      <w:start w:val="1"/>
      <w:numFmt w:val="decimal"/>
      <w:lvlText w:val="%1."/>
      <w:lvlJc w:val="left"/>
      <w:pPr>
        <w:ind w:left="360" w:hanging="360"/>
      </w:pPr>
      <w:rPr>
        <w:rFonts w:cs="Times New Roman" w:hint="default"/>
        <w:b/>
        <w:i w:val="0"/>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D6E4B99"/>
    <w:multiLevelType w:val="hybridMultilevel"/>
    <w:tmpl w:val="FD06776E"/>
    <w:lvl w:ilvl="0" w:tplc="04080001">
      <w:start w:val="1"/>
      <w:numFmt w:val="bullet"/>
      <w:lvlText w:val=""/>
      <w:lvlJc w:val="left"/>
      <w:pPr>
        <w:ind w:left="1080" w:hanging="360"/>
      </w:pPr>
      <w:rPr>
        <w:rFonts w:ascii="Symbol" w:hAnsi="Symbol" w:hint="default"/>
      </w:rPr>
    </w:lvl>
    <w:lvl w:ilvl="1" w:tplc="0408001B">
      <w:start w:val="1"/>
      <w:numFmt w:val="lowerRoman"/>
      <w:lvlText w:val="%2."/>
      <w:lvlJc w:val="right"/>
      <w:pPr>
        <w:ind w:left="1800" w:hanging="360"/>
      </w:pPr>
      <w:rPr>
        <w:rFonts w:cs="Times New Roman" w:hint="default"/>
      </w:rPr>
    </w:lvl>
    <w:lvl w:ilvl="2" w:tplc="0408001B">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
    <w:nsid w:val="24BF702A"/>
    <w:multiLevelType w:val="multilevel"/>
    <w:tmpl w:val="894C9AE2"/>
    <w:lvl w:ilvl="0">
      <w:start w:val="1"/>
      <w:numFmt w:val="decimal"/>
      <w:lvlText w:val="%1."/>
      <w:lvlJc w:val="left"/>
      <w:pPr>
        <w:ind w:left="360" w:hanging="360"/>
      </w:pPr>
      <w:rPr>
        <w:rFonts w:cs="Times New Roman"/>
        <w:b w:val="0"/>
        <w:u w:val="none"/>
      </w:rPr>
    </w:lvl>
    <w:lvl w:ilvl="1">
      <w:start w:val="1"/>
      <w:numFmt w:val="lowerRoman"/>
      <w:lvlText w:val="%2."/>
      <w:lvlJc w:val="left"/>
      <w:pPr>
        <w:ind w:left="1440" w:hanging="360"/>
      </w:pPr>
      <w:rPr>
        <w:rFonts w:cs="Times New Roman"/>
        <w:b w:val="0"/>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52E015F"/>
    <w:multiLevelType w:val="hybridMultilevel"/>
    <w:tmpl w:val="C4905B46"/>
    <w:lvl w:ilvl="0" w:tplc="9B00E480">
      <w:start w:val="1"/>
      <w:numFmt w:val="lowerRoman"/>
      <w:lvlText w:val="%1)"/>
      <w:lvlJc w:val="left"/>
      <w:pPr>
        <w:tabs>
          <w:tab w:val="num" w:pos="2340"/>
        </w:tabs>
        <w:ind w:left="2340" w:hanging="720"/>
      </w:pPr>
      <w:rPr>
        <w:rFonts w:cs="Times New Roman" w:hint="default"/>
      </w:rPr>
    </w:lvl>
    <w:lvl w:ilvl="1" w:tplc="04080019" w:tentative="1">
      <w:start w:val="1"/>
      <w:numFmt w:val="lowerLetter"/>
      <w:lvlText w:val="%2."/>
      <w:lvlJc w:val="left"/>
      <w:pPr>
        <w:tabs>
          <w:tab w:val="num" w:pos="2700"/>
        </w:tabs>
        <w:ind w:left="2700" w:hanging="360"/>
      </w:pPr>
      <w:rPr>
        <w:rFonts w:cs="Times New Roman"/>
      </w:rPr>
    </w:lvl>
    <w:lvl w:ilvl="2" w:tplc="0408001B" w:tentative="1">
      <w:start w:val="1"/>
      <w:numFmt w:val="lowerRoman"/>
      <w:lvlText w:val="%3."/>
      <w:lvlJc w:val="right"/>
      <w:pPr>
        <w:tabs>
          <w:tab w:val="num" w:pos="3420"/>
        </w:tabs>
        <w:ind w:left="3420" w:hanging="180"/>
      </w:pPr>
      <w:rPr>
        <w:rFonts w:cs="Times New Roman"/>
      </w:rPr>
    </w:lvl>
    <w:lvl w:ilvl="3" w:tplc="0408000F" w:tentative="1">
      <w:start w:val="1"/>
      <w:numFmt w:val="decimal"/>
      <w:lvlText w:val="%4."/>
      <w:lvlJc w:val="left"/>
      <w:pPr>
        <w:tabs>
          <w:tab w:val="num" w:pos="4140"/>
        </w:tabs>
        <w:ind w:left="4140" w:hanging="360"/>
      </w:pPr>
      <w:rPr>
        <w:rFonts w:cs="Times New Roman"/>
      </w:rPr>
    </w:lvl>
    <w:lvl w:ilvl="4" w:tplc="04080019" w:tentative="1">
      <w:start w:val="1"/>
      <w:numFmt w:val="lowerLetter"/>
      <w:lvlText w:val="%5."/>
      <w:lvlJc w:val="left"/>
      <w:pPr>
        <w:tabs>
          <w:tab w:val="num" w:pos="4860"/>
        </w:tabs>
        <w:ind w:left="4860" w:hanging="360"/>
      </w:pPr>
      <w:rPr>
        <w:rFonts w:cs="Times New Roman"/>
      </w:rPr>
    </w:lvl>
    <w:lvl w:ilvl="5" w:tplc="0408001B" w:tentative="1">
      <w:start w:val="1"/>
      <w:numFmt w:val="lowerRoman"/>
      <w:lvlText w:val="%6."/>
      <w:lvlJc w:val="right"/>
      <w:pPr>
        <w:tabs>
          <w:tab w:val="num" w:pos="5580"/>
        </w:tabs>
        <w:ind w:left="5580" w:hanging="180"/>
      </w:pPr>
      <w:rPr>
        <w:rFonts w:cs="Times New Roman"/>
      </w:rPr>
    </w:lvl>
    <w:lvl w:ilvl="6" w:tplc="0408000F" w:tentative="1">
      <w:start w:val="1"/>
      <w:numFmt w:val="decimal"/>
      <w:lvlText w:val="%7."/>
      <w:lvlJc w:val="left"/>
      <w:pPr>
        <w:tabs>
          <w:tab w:val="num" w:pos="6300"/>
        </w:tabs>
        <w:ind w:left="6300" w:hanging="360"/>
      </w:pPr>
      <w:rPr>
        <w:rFonts w:cs="Times New Roman"/>
      </w:rPr>
    </w:lvl>
    <w:lvl w:ilvl="7" w:tplc="04080019" w:tentative="1">
      <w:start w:val="1"/>
      <w:numFmt w:val="lowerLetter"/>
      <w:lvlText w:val="%8."/>
      <w:lvlJc w:val="left"/>
      <w:pPr>
        <w:tabs>
          <w:tab w:val="num" w:pos="7020"/>
        </w:tabs>
        <w:ind w:left="7020" w:hanging="360"/>
      </w:pPr>
      <w:rPr>
        <w:rFonts w:cs="Times New Roman"/>
      </w:rPr>
    </w:lvl>
    <w:lvl w:ilvl="8" w:tplc="0408001B" w:tentative="1">
      <w:start w:val="1"/>
      <w:numFmt w:val="lowerRoman"/>
      <w:lvlText w:val="%9."/>
      <w:lvlJc w:val="right"/>
      <w:pPr>
        <w:tabs>
          <w:tab w:val="num" w:pos="7740"/>
        </w:tabs>
        <w:ind w:left="7740" w:hanging="180"/>
      </w:pPr>
      <w:rPr>
        <w:rFonts w:cs="Times New Roman"/>
      </w:rPr>
    </w:lvl>
  </w:abstractNum>
  <w:abstractNum w:abstractNumId="11">
    <w:nsid w:val="2D76411B"/>
    <w:multiLevelType w:val="hybridMultilevel"/>
    <w:tmpl w:val="AF606D7C"/>
    <w:lvl w:ilvl="0" w:tplc="9B00E480">
      <w:start w:val="1"/>
      <w:numFmt w:val="lowerRoman"/>
      <w:lvlText w:val="%1)"/>
      <w:lvlJc w:val="left"/>
      <w:pPr>
        <w:tabs>
          <w:tab w:val="num" w:pos="2340"/>
        </w:tabs>
        <w:ind w:left="234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E8432EF"/>
    <w:multiLevelType w:val="hybridMultilevel"/>
    <w:tmpl w:val="41A83F2A"/>
    <w:lvl w:ilvl="0" w:tplc="5F6C334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FE63D68"/>
    <w:multiLevelType w:val="hybridMultilevel"/>
    <w:tmpl w:val="FC2E360A"/>
    <w:lvl w:ilvl="0" w:tplc="E78C77BA">
      <w:start w:val="1"/>
      <w:numFmt w:val="decimal"/>
      <w:lvlText w:val="%1."/>
      <w:lvlJc w:val="left"/>
      <w:pPr>
        <w:ind w:left="360" w:hanging="360"/>
      </w:pPr>
      <w:rPr>
        <w:rFonts w:cs="Times New Roman" w:hint="default"/>
        <w:b/>
        <w:i w:val="0"/>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B937BE1"/>
    <w:multiLevelType w:val="hybridMultilevel"/>
    <w:tmpl w:val="5C4E9FCE"/>
    <w:lvl w:ilvl="0" w:tplc="E78C77BA">
      <w:start w:val="1"/>
      <w:numFmt w:val="decimal"/>
      <w:lvlText w:val="%1."/>
      <w:lvlJc w:val="left"/>
      <w:pPr>
        <w:ind w:left="360" w:hanging="360"/>
      </w:pPr>
      <w:rPr>
        <w:rFonts w:cs="Times New Roman" w:hint="default"/>
        <w:b/>
        <w:i w:val="0"/>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2C07A8E"/>
    <w:multiLevelType w:val="multilevel"/>
    <w:tmpl w:val="188E7B9C"/>
    <w:lvl w:ilvl="0">
      <w:start w:val="1"/>
      <w:numFmt w:val="decimal"/>
      <w:lvlText w:val="%1."/>
      <w:lvlJc w:val="left"/>
      <w:pPr>
        <w:ind w:left="900" w:hanging="360"/>
      </w:pPr>
      <w:rPr>
        <w:rFonts w:cs="Times New Roman" w:hint="default"/>
        <w:b w:val="0"/>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A893A38"/>
    <w:multiLevelType w:val="hybridMultilevel"/>
    <w:tmpl w:val="F334AF02"/>
    <w:lvl w:ilvl="0" w:tplc="8F30BE84">
      <w:start w:val="1"/>
      <w:numFmt w:val="decimal"/>
      <w:lvlText w:val="%1."/>
      <w:lvlJc w:val="left"/>
      <w:pPr>
        <w:ind w:left="360" w:hanging="360"/>
      </w:pPr>
      <w:rPr>
        <w:rFonts w:cs="Times New Roman" w:hint="default"/>
        <w:b w:val="0"/>
        <w:u w:val="none"/>
      </w:rPr>
    </w:lvl>
    <w:lvl w:ilvl="1" w:tplc="79149294">
      <w:start w:val="1"/>
      <w:numFmt w:val="lowerRoman"/>
      <w:lvlText w:val="%2."/>
      <w:lvlJc w:val="left"/>
      <w:pPr>
        <w:tabs>
          <w:tab w:val="num" w:pos="1440"/>
        </w:tabs>
        <w:ind w:left="1440" w:hanging="360"/>
      </w:pPr>
      <w:rPr>
        <w:rFonts w:cs="Times New Roman" w:hint="default"/>
        <w:b w:val="0"/>
        <w:u w:val="none"/>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8"/>
  </w:num>
  <w:num w:numId="4">
    <w:abstractNumId w:val="10"/>
  </w:num>
  <w:num w:numId="5">
    <w:abstractNumId w:val="12"/>
  </w:num>
  <w:num w:numId="6">
    <w:abstractNumId w:val="0"/>
  </w:num>
  <w:num w:numId="7">
    <w:abstractNumId w:val="15"/>
  </w:num>
  <w:num w:numId="8">
    <w:abstractNumId w:val="4"/>
  </w:num>
  <w:num w:numId="9">
    <w:abstractNumId w:val="5"/>
  </w:num>
  <w:num w:numId="10">
    <w:abstractNumId w:val="11"/>
  </w:num>
  <w:num w:numId="11">
    <w:abstractNumId w:val="3"/>
  </w:num>
  <w:num w:numId="12">
    <w:abstractNumId w:val="6"/>
  </w:num>
  <w:num w:numId="13">
    <w:abstractNumId w:val="9"/>
  </w:num>
  <w:num w:numId="14">
    <w:abstractNumId w:val="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AA"/>
    <w:rsid w:val="000053C2"/>
    <w:rsid w:val="000252D9"/>
    <w:rsid w:val="000805F7"/>
    <w:rsid w:val="00086071"/>
    <w:rsid w:val="000A06A7"/>
    <w:rsid w:val="000C660A"/>
    <w:rsid w:val="000E107A"/>
    <w:rsid w:val="000F01A2"/>
    <w:rsid w:val="00101652"/>
    <w:rsid w:val="00105F41"/>
    <w:rsid w:val="001163A1"/>
    <w:rsid w:val="00122FEA"/>
    <w:rsid w:val="00134BD2"/>
    <w:rsid w:val="0013761C"/>
    <w:rsid w:val="00155520"/>
    <w:rsid w:val="00182663"/>
    <w:rsid w:val="001A0C53"/>
    <w:rsid w:val="001C078E"/>
    <w:rsid w:val="001C235D"/>
    <w:rsid w:val="001D15DA"/>
    <w:rsid w:val="001E1D76"/>
    <w:rsid w:val="001E343C"/>
    <w:rsid w:val="001E7FC2"/>
    <w:rsid w:val="001E7FE3"/>
    <w:rsid w:val="00210002"/>
    <w:rsid w:val="00211C2D"/>
    <w:rsid w:val="0021609A"/>
    <w:rsid w:val="002265F4"/>
    <w:rsid w:val="0023123C"/>
    <w:rsid w:val="00241B03"/>
    <w:rsid w:val="00245FE0"/>
    <w:rsid w:val="0025128B"/>
    <w:rsid w:val="00262561"/>
    <w:rsid w:val="00272F6E"/>
    <w:rsid w:val="0028734F"/>
    <w:rsid w:val="00294F6F"/>
    <w:rsid w:val="00297EB5"/>
    <w:rsid w:val="002B13DC"/>
    <w:rsid w:val="002C088A"/>
    <w:rsid w:val="002C6558"/>
    <w:rsid w:val="002D4589"/>
    <w:rsid w:val="002E00BA"/>
    <w:rsid w:val="002E4844"/>
    <w:rsid w:val="002F2C06"/>
    <w:rsid w:val="002F47E4"/>
    <w:rsid w:val="0030524E"/>
    <w:rsid w:val="00305FC4"/>
    <w:rsid w:val="0032445A"/>
    <w:rsid w:val="00327BCE"/>
    <w:rsid w:val="00333535"/>
    <w:rsid w:val="00335FF7"/>
    <w:rsid w:val="00343942"/>
    <w:rsid w:val="003618A9"/>
    <w:rsid w:val="003646CB"/>
    <w:rsid w:val="0039238D"/>
    <w:rsid w:val="00395153"/>
    <w:rsid w:val="003A75F9"/>
    <w:rsid w:val="003B4DB1"/>
    <w:rsid w:val="003F496E"/>
    <w:rsid w:val="00402B68"/>
    <w:rsid w:val="004066C9"/>
    <w:rsid w:val="00411CD9"/>
    <w:rsid w:val="00423CA0"/>
    <w:rsid w:val="00441B87"/>
    <w:rsid w:val="00452468"/>
    <w:rsid w:val="00482E65"/>
    <w:rsid w:val="00485408"/>
    <w:rsid w:val="00495D2B"/>
    <w:rsid w:val="004A0B10"/>
    <w:rsid w:val="004A2992"/>
    <w:rsid w:val="004A48D5"/>
    <w:rsid w:val="004A535A"/>
    <w:rsid w:val="004A6A46"/>
    <w:rsid w:val="004B25D3"/>
    <w:rsid w:val="004C0768"/>
    <w:rsid w:val="004C2D79"/>
    <w:rsid w:val="004F3A0D"/>
    <w:rsid w:val="00501FCA"/>
    <w:rsid w:val="0050529A"/>
    <w:rsid w:val="00507158"/>
    <w:rsid w:val="00520FCB"/>
    <w:rsid w:val="00531A0A"/>
    <w:rsid w:val="00533416"/>
    <w:rsid w:val="005402E2"/>
    <w:rsid w:val="00543D9B"/>
    <w:rsid w:val="0055654B"/>
    <w:rsid w:val="0056185F"/>
    <w:rsid w:val="00572EA2"/>
    <w:rsid w:val="00580872"/>
    <w:rsid w:val="005853AD"/>
    <w:rsid w:val="00587907"/>
    <w:rsid w:val="0059647C"/>
    <w:rsid w:val="005A1030"/>
    <w:rsid w:val="005C15C8"/>
    <w:rsid w:val="005C3DD6"/>
    <w:rsid w:val="005D2E59"/>
    <w:rsid w:val="005D2F46"/>
    <w:rsid w:val="005E5A46"/>
    <w:rsid w:val="006136D5"/>
    <w:rsid w:val="0061489A"/>
    <w:rsid w:val="006231FC"/>
    <w:rsid w:val="00650956"/>
    <w:rsid w:val="00664CAC"/>
    <w:rsid w:val="0067288F"/>
    <w:rsid w:val="00677D78"/>
    <w:rsid w:val="00681428"/>
    <w:rsid w:val="00690D58"/>
    <w:rsid w:val="006950C2"/>
    <w:rsid w:val="006B1E29"/>
    <w:rsid w:val="006B24FF"/>
    <w:rsid w:val="006B762C"/>
    <w:rsid w:val="006C2878"/>
    <w:rsid w:val="006E5AEF"/>
    <w:rsid w:val="006E6B8E"/>
    <w:rsid w:val="006F6667"/>
    <w:rsid w:val="007059D2"/>
    <w:rsid w:val="00713C3A"/>
    <w:rsid w:val="00727E46"/>
    <w:rsid w:val="007336B5"/>
    <w:rsid w:val="00742578"/>
    <w:rsid w:val="0074409B"/>
    <w:rsid w:val="00745C17"/>
    <w:rsid w:val="00745F95"/>
    <w:rsid w:val="007519A0"/>
    <w:rsid w:val="007566CA"/>
    <w:rsid w:val="007656E7"/>
    <w:rsid w:val="00765758"/>
    <w:rsid w:val="00782D22"/>
    <w:rsid w:val="007A0795"/>
    <w:rsid w:val="007A5917"/>
    <w:rsid w:val="007B1993"/>
    <w:rsid w:val="007C7B31"/>
    <w:rsid w:val="007D0569"/>
    <w:rsid w:val="007E583B"/>
    <w:rsid w:val="00810DF8"/>
    <w:rsid w:val="00812811"/>
    <w:rsid w:val="0081378B"/>
    <w:rsid w:val="008262B8"/>
    <w:rsid w:val="00836270"/>
    <w:rsid w:val="0084465A"/>
    <w:rsid w:val="00855B82"/>
    <w:rsid w:val="00855E2A"/>
    <w:rsid w:val="00857EFE"/>
    <w:rsid w:val="00864DBC"/>
    <w:rsid w:val="008823D7"/>
    <w:rsid w:val="00894FB2"/>
    <w:rsid w:val="008A25DC"/>
    <w:rsid w:val="008A626C"/>
    <w:rsid w:val="008B013B"/>
    <w:rsid w:val="008C7B34"/>
    <w:rsid w:val="008D1D21"/>
    <w:rsid w:val="008D42B4"/>
    <w:rsid w:val="008D5176"/>
    <w:rsid w:val="008E15A8"/>
    <w:rsid w:val="008E5AE9"/>
    <w:rsid w:val="008E7760"/>
    <w:rsid w:val="0090265C"/>
    <w:rsid w:val="00913D63"/>
    <w:rsid w:val="00922152"/>
    <w:rsid w:val="009249A8"/>
    <w:rsid w:val="00926546"/>
    <w:rsid w:val="00926F39"/>
    <w:rsid w:val="0093399C"/>
    <w:rsid w:val="009467FA"/>
    <w:rsid w:val="009509EF"/>
    <w:rsid w:val="00957B44"/>
    <w:rsid w:val="00965BC5"/>
    <w:rsid w:val="00973554"/>
    <w:rsid w:val="00992216"/>
    <w:rsid w:val="009C1CFE"/>
    <w:rsid w:val="009C3F45"/>
    <w:rsid w:val="009C53E9"/>
    <w:rsid w:val="009E3994"/>
    <w:rsid w:val="009E3A08"/>
    <w:rsid w:val="00A0122E"/>
    <w:rsid w:val="00A10544"/>
    <w:rsid w:val="00A122C4"/>
    <w:rsid w:val="00A21472"/>
    <w:rsid w:val="00A24146"/>
    <w:rsid w:val="00A27B50"/>
    <w:rsid w:val="00A31EF8"/>
    <w:rsid w:val="00A44263"/>
    <w:rsid w:val="00A5120E"/>
    <w:rsid w:val="00A63759"/>
    <w:rsid w:val="00A65041"/>
    <w:rsid w:val="00A707FC"/>
    <w:rsid w:val="00A753CC"/>
    <w:rsid w:val="00A84B6F"/>
    <w:rsid w:val="00A867A0"/>
    <w:rsid w:val="00A9432C"/>
    <w:rsid w:val="00AA4108"/>
    <w:rsid w:val="00AA51EB"/>
    <w:rsid w:val="00AA6E92"/>
    <w:rsid w:val="00AB6F82"/>
    <w:rsid w:val="00AC0238"/>
    <w:rsid w:val="00AD400B"/>
    <w:rsid w:val="00AE7610"/>
    <w:rsid w:val="00AF7A43"/>
    <w:rsid w:val="00B0279A"/>
    <w:rsid w:val="00B05274"/>
    <w:rsid w:val="00B1772F"/>
    <w:rsid w:val="00B239A7"/>
    <w:rsid w:val="00B2554F"/>
    <w:rsid w:val="00B321E5"/>
    <w:rsid w:val="00B33C0D"/>
    <w:rsid w:val="00B40D07"/>
    <w:rsid w:val="00B471E5"/>
    <w:rsid w:val="00B51629"/>
    <w:rsid w:val="00B6256F"/>
    <w:rsid w:val="00B645E8"/>
    <w:rsid w:val="00B66442"/>
    <w:rsid w:val="00B75AC0"/>
    <w:rsid w:val="00B93588"/>
    <w:rsid w:val="00BA1ADB"/>
    <w:rsid w:val="00BA2CFE"/>
    <w:rsid w:val="00BB1E30"/>
    <w:rsid w:val="00BB297B"/>
    <w:rsid w:val="00BC47AE"/>
    <w:rsid w:val="00BC4DB8"/>
    <w:rsid w:val="00BC50EF"/>
    <w:rsid w:val="00BC65D7"/>
    <w:rsid w:val="00BD209D"/>
    <w:rsid w:val="00BD33D7"/>
    <w:rsid w:val="00BF616C"/>
    <w:rsid w:val="00C00B3B"/>
    <w:rsid w:val="00C010F3"/>
    <w:rsid w:val="00C0163D"/>
    <w:rsid w:val="00C03930"/>
    <w:rsid w:val="00C32697"/>
    <w:rsid w:val="00C47816"/>
    <w:rsid w:val="00C6771F"/>
    <w:rsid w:val="00C82A0C"/>
    <w:rsid w:val="00CA0552"/>
    <w:rsid w:val="00CA567E"/>
    <w:rsid w:val="00CA6CB9"/>
    <w:rsid w:val="00CC2B8A"/>
    <w:rsid w:val="00CC70A2"/>
    <w:rsid w:val="00CD2389"/>
    <w:rsid w:val="00CE17DC"/>
    <w:rsid w:val="00D028C3"/>
    <w:rsid w:val="00D23A5F"/>
    <w:rsid w:val="00D4452F"/>
    <w:rsid w:val="00D5096E"/>
    <w:rsid w:val="00D677EE"/>
    <w:rsid w:val="00D71B4D"/>
    <w:rsid w:val="00D81CDC"/>
    <w:rsid w:val="00D82070"/>
    <w:rsid w:val="00D824BA"/>
    <w:rsid w:val="00D87482"/>
    <w:rsid w:val="00DA2CA6"/>
    <w:rsid w:val="00DA5FE0"/>
    <w:rsid w:val="00DA6E7E"/>
    <w:rsid w:val="00DB32C3"/>
    <w:rsid w:val="00DC4CEE"/>
    <w:rsid w:val="00DC68CC"/>
    <w:rsid w:val="00DF0C7E"/>
    <w:rsid w:val="00E021BB"/>
    <w:rsid w:val="00E032AA"/>
    <w:rsid w:val="00E104DD"/>
    <w:rsid w:val="00E1507C"/>
    <w:rsid w:val="00E26BE7"/>
    <w:rsid w:val="00E67154"/>
    <w:rsid w:val="00E672B4"/>
    <w:rsid w:val="00E70C49"/>
    <w:rsid w:val="00E76AFE"/>
    <w:rsid w:val="00E842CC"/>
    <w:rsid w:val="00E94137"/>
    <w:rsid w:val="00EA2A9B"/>
    <w:rsid w:val="00EC582E"/>
    <w:rsid w:val="00ED15CF"/>
    <w:rsid w:val="00ED5F6C"/>
    <w:rsid w:val="00F15337"/>
    <w:rsid w:val="00F20A75"/>
    <w:rsid w:val="00F220F3"/>
    <w:rsid w:val="00F23C0B"/>
    <w:rsid w:val="00F312EE"/>
    <w:rsid w:val="00F34953"/>
    <w:rsid w:val="00F35062"/>
    <w:rsid w:val="00F4768F"/>
    <w:rsid w:val="00F52B01"/>
    <w:rsid w:val="00F70F28"/>
    <w:rsid w:val="00F806DA"/>
    <w:rsid w:val="00F8085C"/>
    <w:rsid w:val="00F8320D"/>
    <w:rsid w:val="00F9032A"/>
    <w:rsid w:val="00F9748B"/>
    <w:rsid w:val="00FA06B9"/>
    <w:rsid w:val="00FA0737"/>
    <w:rsid w:val="00FB2E60"/>
    <w:rsid w:val="00FC1C02"/>
    <w:rsid w:val="00FC222D"/>
    <w:rsid w:val="00FD1712"/>
    <w:rsid w:val="00FE1134"/>
    <w:rsid w:val="00FE4713"/>
    <w:rsid w:val="00FF020C"/>
    <w:rsid w:val="00FF78C4"/>
    <w:rsid w:val="00FF7C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76AB70E-2595-4CF1-8A6D-73E5961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D9B"/>
    <w:pPr>
      <w:spacing w:after="160" w:line="252" w:lineRule="auto"/>
      <w:jc w:val="both"/>
    </w:pPr>
    <w:rPr>
      <w:lang w:eastAsia="en-US"/>
    </w:rPr>
  </w:style>
  <w:style w:type="paragraph" w:styleId="1">
    <w:name w:val="heading 1"/>
    <w:basedOn w:val="a"/>
    <w:next w:val="a"/>
    <w:link w:val="1Char"/>
    <w:uiPriority w:val="99"/>
    <w:qFormat/>
    <w:rsid w:val="00543D9B"/>
    <w:pPr>
      <w:keepNext/>
      <w:keepLines/>
      <w:spacing w:before="320" w:after="40"/>
      <w:outlineLvl w:val="0"/>
    </w:pPr>
    <w:rPr>
      <w:rFonts w:ascii="Calibri Light" w:hAnsi="Calibri Light"/>
      <w:b/>
      <w:bCs/>
      <w:caps/>
      <w:spacing w:val="4"/>
      <w:sz w:val="28"/>
      <w:szCs w:val="28"/>
    </w:rPr>
  </w:style>
  <w:style w:type="paragraph" w:styleId="2">
    <w:name w:val="heading 2"/>
    <w:basedOn w:val="a"/>
    <w:next w:val="a"/>
    <w:link w:val="2Char"/>
    <w:uiPriority w:val="99"/>
    <w:qFormat/>
    <w:rsid w:val="00543D9B"/>
    <w:pPr>
      <w:keepNext/>
      <w:keepLines/>
      <w:spacing w:before="120" w:after="0"/>
      <w:outlineLvl w:val="1"/>
    </w:pPr>
    <w:rPr>
      <w:rFonts w:ascii="Calibri Light" w:hAnsi="Calibri Light"/>
      <w:b/>
      <w:bCs/>
      <w:sz w:val="28"/>
      <w:szCs w:val="28"/>
    </w:rPr>
  </w:style>
  <w:style w:type="paragraph" w:styleId="3">
    <w:name w:val="heading 3"/>
    <w:basedOn w:val="a"/>
    <w:next w:val="a"/>
    <w:link w:val="3Char"/>
    <w:uiPriority w:val="99"/>
    <w:qFormat/>
    <w:rsid w:val="00543D9B"/>
    <w:pPr>
      <w:keepNext/>
      <w:keepLines/>
      <w:spacing w:before="120" w:after="0"/>
      <w:outlineLvl w:val="2"/>
    </w:pPr>
    <w:rPr>
      <w:rFonts w:ascii="Calibri Light" w:hAnsi="Calibri Light"/>
      <w:spacing w:val="4"/>
      <w:sz w:val="24"/>
      <w:szCs w:val="24"/>
    </w:rPr>
  </w:style>
  <w:style w:type="paragraph" w:styleId="4">
    <w:name w:val="heading 4"/>
    <w:basedOn w:val="a"/>
    <w:next w:val="a"/>
    <w:link w:val="4Char"/>
    <w:uiPriority w:val="99"/>
    <w:qFormat/>
    <w:rsid w:val="00543D9B"/>
    <w:pPr>
      <w:keepNext/>
      <w:keepLines/>
      <w:spacing w:before="120" w:after="0"/>
      <w:outlineLvl w:val="3"/>
    </w:pPr>
    <w:rPr>
      <w:rFonts w:ascii="Calibri Light" w:hAnsi="Calibri Light"/>
      <w:i/>
      <w:iCs/>
      <w:sz w:val="24"/>
      <w:szCs w:val="24"/>
    </w:rPr>
  </w:style>
  <w:style w:type="paragraph" w:styleId="5">
    <w:name w:val="heading 5"/>
    <w:basedOn w:val="a"/>
    <w:next w:val="a"/>
    <w:link w:val="5Char"/>
    <w:uiPriority w:val="99"/>
    <w:qFormat/>
    <w:rsid w:val="00543D9B"/>
    <w:pPr>
      <w:keepNext/>
      <w:keepLines/>
      <w:spacing w:before="120" w:after="0"/>
      <w:outlineLvl w:val="4"/>
    </w:pPr>
    <w:rPr>
      <w:rFonts w:ascii="Calibri Light" w:hAnsi="Calibri Light"/>
      <w:b/>
      <w:bCs/>
    </w:rPr>
  </w:style>
  <w:style w:type="paragraph" w:styleId="6">
    <w:name w:val="heading 6"/>
    <w:basedOn w:val="a"/>
    <w:next w:val="a"/>
    <w:link w:val="6Char"/>
    <w:uiPriority w:val="99"/>
    <w:qFormat/>
    <w:rsid w:val="00543D9B"/>
    <w:pPr>
      <w:keepNext/>
      <w:keepLines/>
      <w:spacing w:before="120" w:after="0"/>
      <w:outlineLvl w:val="5"/>
    </w:pPr>
    <w:rPr>
      <w:rFonts w:ascii="Calibri Light" w:hAnsi="Calibri Light"/>
      <w:b/>
      <w:bCs/>
      <w:i/>
      <w:iCs/>
    </w:rPr>
  </w:style>
  <w:style w:type="paragraph" w:styleId="7">
    <w:name w:val="heading 7"/>
    <w:basedOn w:val="a"/>
    <w:next w:val="a"/>
    <w:link w:val="7Char"/>
    <w:uiPriority w:val="99"/>
    <w:qFormat/>
    <w:rsid w:val="00543D9B"/>
    <w:pPr>
      <w:keepNext/>
      <w:keepLines/>
      <w:spacing w:before="120" w:after="0"/>
      <w:outlineLvl w:val="6"/>
    </w:pPr>
    <w:rPr>
      <w:i/>
      <w:iCs/>
    </w:rPr>
  </w:style>
  <w:style w:type="paragraph" w:styleId="8">
    <w:name w:val="heading 8"/>
    <w:basedOn w:val="a"/>
    <w:next w:val="a"/>
    <w:link w:val="8Char"/>
    <w:uiPriority w:val="99"/>
    <w:qFormat/>
    <w:rsid w:val="00543D9B"/>
    <w:pPr>
      <w:keepNext/>
      <w:keepLines/>
      <w:spacing w:before="120" w:after="0"/>
      <w:outlineLvl w:val="7"/>
    </w:pPr>
    <w:rPr>
      <w:b/>
      <w:bCs/>
    </w:rPr>
  </w:style>
  <w:style w:type="paragraph" w:styleId="9">
    <w:name w:val="heading 9"/>
    <w:basedOn w:val="a"/>
    <w:next w:val="a"/>
    <w:link w:val="9Char"/>
    <w:uiPriority w:val="99"/>
    <w:qFormat/>
    <w:rsid w:val="00543D9B"/>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43D9B"/>
    <w:rPr>
      <w:rFonts w:ascii="Calibri Light" w:hAnsi="Calibri Light" w:cs="Times New Roman"/>
      <w:b/>
      <w:bCs/>
      <w:caps/>
      <w:spacing w:val="4"/>
      <w:sz w:val="28"/>
      <w:szCs w:val="28"/>
    </w:rPr>
  </w:style>
  <w:style w:type="character" w:customStyle="1" w:styleId="2Char">
    <w:name w:val="Επικεφαλίδα 2 Char"/>
    <w:basedOn w:val="a0"/>
    <w:link w:val="2"/>
    <w:uiPriority w:val="99"/>
    <w:semiHidden/>
    <w:locked/>
    <w:rsid w:val="00543D9B"/>
    <w:rPr>
      <w:rFonts w:ascii="Calibri Light" w:hAnsi="Calibri Light" w:cs="Times New Roman"/>
      <w:b/>
      <w:bCs/>
      <w:sz w:val="28"/>
      <w:szCs w:val="28"/>
    </w:rPr>
  </w:style>
  <w:style w:type="character" w:customStyle="1" w:styleId="3Char">
    <w:name w:val="Επικεφαλίδα 3 Char"/>
    <w:basedOn w:val="a0"/>
    <w:link w:val="3"/>
    <w:uiPriority w:val="99"/>
    <w:semiHidden/>
    <w:locked/>
    <w:rsid w:val="00543D9B"/>
    <w:rPr>
      <w:rFonts w:ascii="Calibri Light" w:hAnsi="Calibri Light" w:cs="Times New Roman"/>
      <w:spacing w:val="4"/>
      <w:sz w:val="24"/>
      <w:szCs w:val="24"/>
    </w:rPr>
  </w:style>
  <w:style w:type="character" w:customStyle="1" w:styleId="4Char">
    <w:name w:val="Επικεφαλίδα 4 Char"/>
    <w:basedOn w:val="a0"/>
    <w:link w:val="4"/>
    <w:uiPriority w:val="99"/>
    <w:semiHidden/>
    <w:locked/>
    <w:rsid w:val="00543D9B"/>
    <w:rPr>
      <w:rFonts w:ascii="Calibri Light" w:hAnsi="Calibri Light" w:cs="Times New Roman"/>
      <w:i/>
      <w:iCs/>
      <w:sz w:val="24"/>
      <w:szCs w:val="24"/>
    </w:rPr>
  </w:style>
  <w:style w:type="character" w:customStyle="1" w:styleId="5Char">
    <w:name w:val="Επικεφαλίδα 5 Char"/>
    <w:basedOn w:val="a0"/>
    <w:link w:val="5"/>
    <w:uiPriority w:val="99"/>
    <w:semiHidden/>
    <w:locked/>
    <w:rsid w:val="00543D9B"/>
    <w:rPr>
      <w:rFonts w:ascii="Calibri Light" w:hAnsi="Calibri Light" w:cs="Times New Roman"/>
      <w:b/>
      <w:bCs/>
    </w:rPr>
  </w:style>
  <w:style w:type="character" w:customStyle="1" w:styleId="6Char">
    <w:name w:val="Επικεφαλίδα 6 Char"/>
    <w:basedOn w:val="a0"/>
    <w:link w:val="6"/>
    <w:uiPriority w:val="99"/>
    <w:semiHidden/>
    <w:locked/>
    <w:rsid w:val="00543D9B"/>
    <w:rPr>
      <w:rFonts w:ascii="Calibri Light" w:hAnsi="Calibri Light" w:cs="Times New Roman"/>
      <w:b/>
      <w:bCs/>
      <w:i/>
      <w:iCs/>
    </w:rPr>
  </w:style>
  <w:style w:type="character" w:customStyle="1" w:styleId="7Char">
    <w:name w:val="Επικεφαλίδα 7 Char"/>
    <w:basedOn w:val="a0"/>
    <w:link w:val="7"/>
    <w:uiPriority w:val="99"/>
    <w:semiHidden/>
    <w:locked/>
    <w:rsid w:val="00543D9B"/>
    <w:rPr>
      <w:rFonts w:cs="Times New Roman"/>
      <w:i/>
      <w:iCs/>
    </w:rPr>
  </w:style>
  <w:style w:type="character" w:customStyle="1" w:styleId="8Char">
    <w:name w:val="Επικεφαλίδα 8 Char"/>
    <w:basedOn w:val="a0"/>
    <w:link w:val="8"/>
    <w:uiPriority w:val="99"/>
    <w:semiHidden/>
    <w:locked/>
    <w:rsid w:val="00543D9B"/>
    <w:rPr>
      <w:rFonts w:cs="Times New Roman"/>
      <w:b/>
      <w:bCs/>
    </w:rPr>
  </w:style>
  <w:style w:type="character" w:customStyle="1" w:styleId="9Char">
    <w:name w:val="Επικεφαλίδα 9 Char"/>
    <w:basedOn w:val="a0"/>
    <w:link w:val="9"/>
    <w:uiPriority w:val="99"/>
    <w:semiHidden/>
    <w:locked/>
    <w:rsid w:val="00543D9B"/>
    <w:rPr>
      <w:rFonts w:cs="Times New Roman"/>
      <w:i/>
      <w:iCs/>
    </w:rPr>
  </w:style>
  <w:style w:type="paragraph" w:styleId="a3">
    <w:name w:val="List Paragraph"/>
    <w:basedOn w:val="a"/>
    <w:uiPriority w:val="99"/>
    <w:qFormat/>
    <w:rsid w:val="008A626C"/>
    <w:pPr>
      <w:ind w:left="720"/>
      <w:contextualSpacing/>
    </w:pPr>
  </w:style>
  <w:style w:type="character" w:customStyle="1" w:styleId="hps">
    <w:name w:val="hps"/>
    <w:basedOn w:val="a0"/>
    <w:uiPriority w:val="99"/>
    <w:rsid w:val="003A75F9"/>
    <w:rPr>
      <w:rFonts w:cs="Times New Roman"/>
    </w:rPr>
  </w:style>
  <w:style w:type="paragraph" w:customStyle="1" w:styleId="Char">
    <w:name w:val="Char"/>
    <w:basedOn w:val="a"/>
    <w:uiPriority w:val="99"/>
    <w:rsid w:val="00992216"/>
    <w:pPr>
      <w:spacing w:line="240" w:lineRule="exact"/>
    </w:pPr>
    <w:rPr>
      <w:rFonts w:ascii="Verdana" w:hAnsi="Verdana"/>
      <w:sz w:val="20"/>
      <w:szCs w:val="20"/>
      <w:lang w:val="en-US"/>
    </w:rPr>
  </w:style>
  <w:style w:type="character" w:customStyle="1" w:styleId="atn">
    <w:name w:val="atn"/>
    <w:basedOn w:val="a0"/>
    <w:uiPriority w:val="99"/>
    <w:rsid w:val="00992216"/>
    <w:rPr>
      <w:rFonts w:cs="Times New Roman"/>
    </w:rPr>
  </w:style>
  <w:style w:type="character" w:customStyle="1" w:styleId="hpsatn">
    <w:name w:val="hps atn"/>
    <w:basedOn w:val="a0"/>
    <w:uiPriority w:val="99"/>
    <w:rsid w:val="00992216"/>
    <w:rPr>
      <w:rFonts w:cs="Times New Roman"/>
    </w:rPr>
  </w:style>
  <w:style w:type="paragraph" w:styleId="a4">
    <w:name w:val="footer"/>
    <w:basedOn w:val="a"/>
    <w:link w:val="Char0"/>
    <w:uiPriority w:val="99"/>
    <w:rsid w:val="00992216"/>
    <w:pPr>
      <w:tabs>
        <w:tab w:val="center" w:pos="4153"/>
        <w:tab w:val="right" w:pos="8306"/>
      </w:tabs>
      <w:spacing w:after="0" w:line="240" w:lineRule="auto"/>
    </w:pPr>
    <w:rPr>
      <w:rFonts w:ascii="Times New Roman" w:hAnsi="Times New Roman"/>
      <w:sz w:val="24"/>
      <w:szCs w:val="24"/>
      <w:lang w:eastAsia="el-GR"/>
    </w:rPr>
  </w:style>
  <w:style w:type="character" w:customStyle="1" w:styleId="Char0">
    <w:name w:val="Υποσέλιδο Char"/>
    <w:basedOn w:val="a0"/>
    <w:link w:val="a4"/>
    <w:uiPriority w:val="99"/>
    <w:locked/>
    <w:rsid w:val="00992216"/>
    <w:rPr>
      <w:rFonts w:ascii="Times New Roman" w:hAnsi="Times New Roman" w:cs="Times New Roman"/>
      <w:sz w:val="24"/>
      <w:szCs w:val="24"/>
      <w:lang w:eastAsia="el-GR"/>
    </w:rPr>
  </w:style>
  <w:style w:type="character" w:styleId="a5">
    <w:name w:val="page number"/>
    <w:basedOn w:val="a0"/>
    <w:uiPriority w:val="99"/>
    <w:rsid w:val="00992216"/>
    <w:rPr>
      <w:rFonts w:cs="Times New Roman"/>
    </w:rPr>
  </w:style>
  <w:style w:type="table" w:styleId="a6">
    <w:name w:val="Table Grid"/>
    <w:basedOn w:val="a1"/>
    <w:uiPriority w:val="99"/>
    <w:rsid w:val="009922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rsid w:val="00992216"/>
    <w:rPr>
      <w:rFonts w:cs="Times New Roman"/>
      <w:sz w:val="16"/>
    </w:rPr>
  </w:style>
  <w:style w:type="paragraph" w:styleId="a8">
    <w:name w:val="annotation text"/>
    <w:basedOn w:val="a"/>
    <w:link w:val="Char1"/>
    <w:uiPriority w:val="99"/>
    <w:semiHidden/>
    <w:rsid w:val="00992216"/>
    <w:pPr>
      <w:spacing w:after="0" w:line="240" w:lineRule="auto"/>
    </w:pPr>
    <w:rPr>
      <w:rFonts w:ascii="Times New Roman" w:hAnsi="Times New Roman"/>
      <w:sz w:val="20"/>
      <w:szCs w:val="20"/>
      <w:lang w:eastAsia="el-GR"/>
    </w:rPr>
  </w:style>
  <w:style w:type="character" w:customStyle="1" w:styleId="Char1">
    <w:name w:val="Κείμενο σχολίου Char"/>
    <w:basedOn w:val="a0"/>
    <w:link w:val="a8"/>
    <w:uiPriority w:val="99"/>
    <w:semiHidden/>
    <w:locked/>
    <w:rsid w:val="00992216"/>
    <w:rPr>
      <w:rFonts w:ascii="Times New Roman" w:hAnsi="Times New Roman" w:cs="Times New Roman"/>
      <w:sz w:val="20"/>
      <w:szCs w:val="20"/>
      <w:lang w:eastAsia="el-GR"/>
    </w:rPr>
  </w:style>
  <w:style w:type="paragraph" w:styleId="a9">
    <w:name w:val="annotation subject"/>
    <w:basedOn w:val="a8"/>
    <w:next w:val="a8"/>
    <w:link w:val="Char2"/>
    <w:uiPriority w:val="99"/>
    <w:semiHidden/>
    <w:rsid w:val="00992216"/>
    <w:rPr>
      <w:b/>
      <w:bCs/>
    </w:rPr>
  </w:style>
  <w:style w:type="character" w:customStyle="1" w:styleId="Char2">
    <w:name w:val="Θέμα σχολίου Char"/>
    <w:basedOn w:val="Char1"/>
    <w:link w:val="a9"/>
    <w:uiPriority w:val="99"/>
    <w:semiHidden/>
    <w:locked/>
    <w:rsid w:val="00992216"/>
    <w:rPr>
      <w:rFonts w:ascii="Times New Roman" w:hAnsi="Times New Roman" w:cs="Times New Roman"/>
      <w:b/>
      <w:bCs/>
      <w:sz w:val="20"/>
      <w:szCs w:val="20"/>
      <w:lang w:eastAsia="el-GR"/>
    </w:rPr>
  </w:style>
  <w:style w:type="paragraph" w:styleId="aa">
    <w:name w:val="Balloon Text"/>
    <w:basedOn w:val="a"/>
    <w:link w:val="Char3"/>
    <w:uiPriority w:val="99"/>
    <w:semiHidden/>
    <w:rsid w:val="00992216"/>
    <w:pPr>
      <w:spacing w:after="0" w:line="240" w:lineRule="auto"/>
    </w:pPr>
    <w:rPr>
      <w:rFonts w:ascii="Tahoma" w:hAnsi="Tahoma" w:cs="Tahoma"/>
      <w:sz w:val="16"/>
      <w:szCs w:val="16"/>
      <w:lang w:eastAsia="el-GR"/>
    </w:rPr>
  </w:style>
  <w:style w:type="character" w:customStyle="1" w:styleId="Char3">
    <w:name w:val="Κείμενο πλαισίου Char"/>
    <w:basedOn w:val="a0"/>
    <w:link w:val="aa"/>
    <w:uiPriority w:val="99"/>
    <w:semiHidden/>
    <w:locked/>
    <w:rsid w:val="00992216"/>
    <w:rPr>
      <w:rFonts w:ascii="Tahoma" w:hAnsi="Tahoma" w:cs="Tahoma"/>
      <w:sz w:val="16"/>
      <w:szCs w:val="16"/>
      <w:lang w:eastAsia="el-GR"/>
    </w:rPr>
  </w:style>
  <w:style w:type="paragraph" w:styleId="ab">
    <w:name w:val="footnote text"/>
    <w:basedOn w:val="a"/>
    <w:link w:val="Char4"/>
    <w:uiPriority w:val="99"/>
    <w:rsid w:val="00992216"/>
    <w:pPr>
      <w:spacing w:after="0" w:line="240" w:lineRule="auto"/>
    </w:pPr>
    <w:rPr>
      <w:rFonts w:ascii="Times New Roman" w:hAnsi="Times New Roman"/>
      <w:sz w:val="20"/>
      <w:szCs w:val="20"/>
      <w:lang w:eastAsia="el-GR"/>
    </w:rPr>
  </w:style>
  <w:style w:type="character" w:customStyle="1" w:styleId="Char4">
    <w:name w:val="Κείμενο υποσημείωσης Char"/>
    <w:basedOn w:val="a0"/>
    <w:link w:val="ab"/>
    <w:uiPriority w:val="99"/>
    <w:locked/>
    <w:rsid w:val="00992216"/>
    <w:rPr>
      <w:rFonts w:ascii="Times New Roman" w:hAnsi="Times New Roman" w:cs="Times New Roman"/>
      <w:sz w:val="20"/>
      <w:szCs w:val="20"/>
      <w:lang w:eastAsia="el-GR"/>
    </w:rPr>
  </w:style>
  <w:style w:type="character" w:styleId="ac">
    <w:name w:val="footnote reference"/>
    <w:basedOn w:val="a0"/>
    <w:uiPriority w:val="99"/>
    <w:rsid w:val="00992216"/>
    <w:rPr>
      <w:rFonts w:cs="Times New Roman"/>
      <w:vertAlign w:val="superscript"/>
    </w:rPr>
  </w:style>
  <w:style w:type="paragraph" w:styleId="ad">
    <w:name w:val="Revision"/>
    <w:hidden/>
    <w:uiPriority w:val="99"/>
    <w:semiHidden/>
    <w:rsid w:val="00992216"/>
    <w:pPr>
      <w:jc w:val="both"/>
    </w:pPr>
    <w:rPr>
      <w:rFonts w:ascii="Times New Roman" w:hAnsi="Times New Roman"/>
      <w:sz w:val="24"/>
      <w:szCs w:val="24"/>
    </w:rPr>
  </w:style>
  <w:style w:type="character" w:styleId="ae">
    <w:name w:val="Emphasis"/>
    <w:basedOn w:val="a0"/>
    <w:uiPriority w:val="99"/>
    <w:qFormat/>
    <w:rsid w:val="00543D9B"/>
    <w:rPr>
      <w:rFonts w:cs="Times New Roman"/>
      <w:i/>
      <w:iCs/>
      <w:color w:val="auto"/>
    </w:rPr>
  </w:style>
  <w:style w:type="paragraph" w:styleId="af">
    <w:name w:val="endnote text"/>
    <w:basedOn w:val="a"/>
    <w:link w:val="Char5"/>
    <w:uiPriority w:val="99"/>
    <w:semiHidden/>
    <w:rsid w:val="00992216"/>
    <w:pPr>
      <w:spacing w:after="0" w:line="240" w:lineRule="auto"/>
    </w:pPr>
    <w:rPr>
      <w:rFonts w:ascii="Times New Roman" w:hAnsi="Times New Roman"/>
      <w:sz w:val="20"/>
      <w:szCs w:val="20"/>
      <w:lang w:eastAsia="el-GR"/>
    </w:rPr>
  </w:style>
  <w:style w:type="character" w:customStyle="1" w:styleId="Char5">
    <w:name w:val="Κείμενο σημείωσης τέλους Char"/>
    <w:basedOn w:val="a0"/>
    <w:link w:val="af"/>
    <w:uiPriority w:val="99"/>
    <w:semiHidden/>
    <w:locked/>
    <w:rsid w:val="00992216"/>
    <w:rPr>
      <w:rFonts w:ascii="Times New Roman" w:hAnsi="Times New Roman" w:cs="Times New Roman"/>
      <w:sz w:val="20"/>
      <w:szCs w:val="20"/>
      <w:lang w:eastAsia="el-GR"/>
    </w:rPr>
  </w:style>
  <w:style w:type="character" w:styleId="af0">
    <w:name w:val="endnote reference"/>
    <w:basedOn w:val="a0"/>
    <w:uiPriority w:val="99"/>
    <w:semiHidden/>
    <w:rsid w:val="00992216"/>
    <w:rPr>
      <w:rFonts w:cs="Times New Roman"/>
      <w:vertAlign w:val="superscript"/>
    </w:rPr>
  </w:style>
  <w:style w:type="paragraph" w:styleId="af1">
    <w:name w:val="caption"/>
    <w:basedOn w:val="a"/>
    <w:next w:val="a"/>
    <w:uiPriority w:val="99"/>
    <w:qFormat/>
    <w:rsid w:val="00543D9B"/>
    <w:rPr>
      <w:b/>
      <w:bCs/>
      <w:sz w:val="18"/>
      <w:szCs w:val="18"/>
    </w:rPr>
  </w:style>
  <w:style w:type="paragraph" w:styleId="af2">
    <w:name w:val="Title"/>
    <w:basedOn w:val="a"/>
    <w:next w:val="a"/>
    <w:link w:val="Char6"/>
    <w:uiPriority w:val="99"/>
    <w:qFormat/>
    <w:rsid w:val="00543D9B"/>
    <w:pPr>
      <w:spacing w:after="0" w:line="240" w:lineRule="auto"/>
      <w:contextualSpacing/>
      <w:jc w:val="center"/>
    </w:pPr>
    <w:rPr>
      <w:rFonts w:ascii="Calibri Light" w:hAnsi="Calibri Light"/>
      <w:b/>
      <w:bCs/>
      <w:spacing w:val="-7"/>
      <w:sz w:val="48"/>
      <w:szCs w:val="48"/>
    </w:rPr>
  </w:style>
  <w:style w:type="character" w:customStyle="1" w:styleId="Char6">
    <w:name w:val="Τίτλος Char"/>
    <w:basedOn w:val="a0"/>
    <w:link w:val="af2"/>
    <w:uiPriority w:val="99"/>
    <w:locked/>
    <w:rsid w:val="00543D9B"/>
    <w:rPr>
      <w:rFonts w:ascii="Calibri Light" w:hAnsi="Calibri Light" w:cs="Times New Roman"/>
      <w:b/>
      <w:bCs/>
      <w:spacing w:val="-7"/>
      <w:sz w:val="48"/>
      <w:szCs w:val="48"/>
    </w:rPr>
  </w:style>
  <w:style w:type="paragraph" w:styleId="af3">
    <w:name w:val="Subtitle"/>
    <w:basedOn w:val="a"/>
    <w:next w:val="a"/>
    <w:link w:val="Char7"/>
    <w:uiPriority w:val="99"/>
    <w:qFormat/>
    <w:rsid w:val="00543D9B"/>
    <w:pPr>
      <w:numPr>
        <w:ilvl w:val="1"/>
      </w:numPr>
      <w:spacing w:after="240"/>
      <w:jc w:val="center"/>
    </w:pPr>
    <w:rPr>
      <w:rFonts w:ascii="Calibri Light" w:hAnsi="Calibri Light"/>
      <w:sz w:val="24"/>
      <w:szCs w:val="24"/>
    </w:rPr>
  </w:style>
  <w:style w:type="character" w:customStyle="1" w:styleId="Char7">
    <w:name w:val="Υπότιτλος Char"/>
    <w:basedOn w:val="a0"/>
    <w:link w:val="af3"/>
    <w:uiPriority w:val="99"/>
    <w:locked/>
    <w:rsid w:val="00543D9B"/>
    <w:rPr>
      <w:rFonts w:ascii="Calibri Light" w:hAnsi="Calibri Light" w:cs="Times New Roman"/>
      <w:sz w:val="24"/>
      <w:szCs w:val="24"/>
    </w:rPr>
  </w:style>
  <w:style w:type="character" w:styleId="af4">
    <w:name w:val="Strong"/>
    <w:basedOn w:val="a0"/>
    <w:uiPriority w:val="99"/>
    <w:qFormat/>
    <w:rsid w:val="00543D9B"/>
    <w:rPr>
      <w:rFonts w:cs="Times New Roman"/>
      <w:b/>
      <w:bCs/>
      <w:color w:val="auto"/>
    </w:rPr>
  </w:style>
  <w:style w:type="paragraph" w:styleId="af5">
    <w:name w:val="No Spacing"/>
    <w:uiPriority w:val="99"/>
    <w:qFormat/>
    <w:rsid w:val="00543D9B"/>
    <w:pPr>
      <w:jc w:val="both"/>
    </w:pPr>
    <w:rPr>
      <w:lang w:eastAsia="en-US"/>
    </w:rPr>
  </w:style>
  <w:style w:type="paragraph" w:styleId="af6">
    <w:name w:val="Quote"/>
    <w:basedOn w:val="a"/>
    <w:next w:val="a"/>
    <w:link w:val="Char8"/>
    <w:uiPriority w:val="99"/>
    <w:qFormat/>
    <w:rsid w:val="00543D9B"/>
    <w:pPr>
      <w:spacing w:before="200" w:line="264" w:lineRule="auto"/>
      <w:ind w:left="864" w:right="864"/>
      <w:jc w:val="center"/>
    </w:pPr>
    <w:rPr>
      <w:rFonts w:ascii="Calibri Light" w:hAnsi="Calibri Light"/>
      <w:i/>
      <w:iCs/>
      <w:sz w:val="24"/>
      <w:szCs w:val="24"/>
    </w:rPr>
  </w:style>
  <w:style w:type="character" w:customStyle="1" w:styleId="Char8">
    <w:name w:val="Απόσπασμα Char"/>
    <w:basedOn w:val="a0"/>
    <w:link w:val="af6"/>
    <w:uiPriority w:val="99"/>
    <w:locked/>
    <w:rsid w:val="00543D9B"/>
    <w:rPr>
      <w:rFonts w:ascii="Calibri Light" w:hAnsi="Calibri Light" w:cs="Times New Roman"/>
      <w:i/>
      <w:iCs/>
      <w:sz w:val="24"/>
      <w:szCs w:val="24"/>
    </w:rPr>
  </w:style>
  <w:style w:type="paragraph" w:styleId="af7">
    <w:name w:val="Intense Quote"/>
    <w:basedOn w:val="a"/>
    <w:next w:val="a"/>
    <w:link w:val="Char9"/>
    <w:uiPriority w:val="99"/>
    <w:qFormat/>
    <w:rsid w:val="00543D9B"/>
    <w:pPr>
      <w:spacing w:before="100" w:beforeAutospacing="1" w:after="240"/>
      <w:ind w:left="936" w:right="936"/>
      <w:jc w:val="center"/>
    </w:pPr>
    <w:rPr>
      <w:rFonts w:ascii="Calibri Light" w:hAnsi="Calibri Light"/>
      <w:sz w:val="26"/>
      <w:szCs w:val="26"/>
    </w:rPr>
  </w:style>
  <w:style w:type="character" w:customStyle="1" w:styleId="Char9">
    <w:name w:val="Έντονο απόσπασμα Char"/>
    <w:basedOn w:val="a0"/>
    <w:link w:val="af7"/>
    <w:uiPriority w:val="99"/>
    <w:locked/>
    <w:rsid w:val="00543D9B"/>
    <w:rPr>
      <w:rFonts w:ascii="Calibri Light" w:hAnsi="Calibri Light" w:cs="Times New Roman"/>
      <w:sz w:val="26"/>
      <w:szCs w:val="26"/>
    </w:rPr>
  </w:style>
  <w:style w:type="character" w:styleId="af8">
    <w:name w:val="Subtle Emphasis"/>
    <w:basedOn w:val="a0"/>
    <w:uiPriority w:val="99"/>
    <w:qFormat/>
    <w:rsid w:val="00543D9B"/>
    <w:rPr>
      <w:rFonts w:cs="Times New Roman"/>
      <w:i/>
      <w:iCs/>
      <w:color w:val="auto"/>
    </w:rPr>
  </w:style>
  <w:style w:type="character" w:styleId="af9">
    <w:name w:val="Intense Emphasis"/>
    <w:basedOn w:val="a0"/>
    <w:uiPriority w:val="99"/>
    <w:qFormat/>
    <w:rsid w:val="00543D9B"/>
    <w:rPr>
      <w:rFonts w:cs="Times New Roman"/>
      <w:b/>
      <w:bCs/>
      <w:i/>
      <w:iCs/>
      <w:color w:val="auto"/>
    </w:rPr>
  </w:style>
  <w:style w:type="character" w:styleId="afa">
    <w:name w:val="Subtle Reference"/>
    <w:basedOn w:val="a0"/>
    <w:uiPriority w:val="99"/>
    <w:qFormat/>
    <w:rsid w:val="00543D9B"/>
    <w:rPr>
      <w:rFonts w:cs="Times New Roman"/>
      <w:smallCaps/>
      <w:color w:val="auto"/>
      <w:u w:val="single" w:color="7F7F7F"/>
    </w:rPr>
  </w:style>
  <w:style w:type="character" w:styleId="afb">
    <w:name w:val="Intense Reference"/>
    <w:basedOn w:val="a0"/>
    <w:uiPriority w:val="99"/>
    <w:qFormat/>
    <w:rsid w:val="00543D9B"/>
    <w:rPr>
      <w:rFonts w:cs="Times New Roman"/>
      <w:b/>
      <w:bCs/>
      <w:smallCaps/>
      <w:color w:val="auto"/>
      <w:u w:val="single"/>
    </w:rPr>
  </w:style>
  <w:style w:type="character" w:styleId="afc">
    <w:name w:val="Book Title"/>
    <w:basedOn w:val="a0"/>
    <w:uiPriority w:val="99"/>
    <w:qFormat/>
    <w:rsid w:val="00543D9B"/>
    <w:rPr>
      <w:rFonts w:cs="Times New Roman"/>
      <w:b/>
      <w:bCs/>
      <w:smallCaps/>
      <w:color w:val="auto"/>
    </w:rPr>
  </w:style>
  <w:style w:type="paragraph" w:styleId="afd">
    <w:name w:val="TOC Heading"/>
    <w:basedOn w:val="1"/>
    <w:next w:val="a"/>
    <w:uiPriority w:val="99"/>
    <w:qFormat/>
    <w:rsid w:val="00543D9B"/>
    <w:pPr>
      <w:outlineLvl w:val="9"/>
    </w:pPr>
  </w:style>
  <w:style w:type="paragraph" w:styleId="afe">
    <w:name w:val="header"/>
    <w:basedOn w:val="a"/>
    <w:link w:val="Chara"/>
    <w:uiPriority w:val="99"/>
    <w:rsid w:val="009467FA"/>
    <w:pPr>
      <w:tabs>
        <w:tab w:val="center" w:pos="4153"/>
        <w:tab w:val="right" w:pos="8306"/>
      </w:tabs>
      <w:spacing w:after="0" w:line="240" w:lineRule="auto"/>
    </w:pPr>
  </w:style>
  <w:style w:type="character" w:customStyle="1" w:styleId="Chara">
    <w:name w:val="Κεφαλίδα Char"/>
    <w:basedOn w:val="a0"/>
    <w:link w:val="afe"/>
    <w:uiPriority w:val="99"/>
    <w:locked/>
    <w:rsid w:val="009467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3304</Words>
  <Characters>20551</Characters>
  <Application>Microsoft Office Word</Application>
  <DocSecurity>0</DocSecurity>
  <Lines>171</Lines>
  <Paragraphs>47</Paragraphs>
  <ScaleCrop>false</ScaleCrop>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Karali</dc:creator>
  <cp:keywords/>
  <dc:description/>
  <cp:lastModifiedBy>Sophia Theodorou</cp:lastModifiedBy>
  <cp:revision>12</cp:revision>
  <cp:lastPrinted>2014-08-27T12:54:00Z</cp:lastPrinted>
  <dcterms:created xsi:type="dcterms:W3CDTF">2014-08-28T08:55:00Z</dcterms:created>
  <dcterms:modified xsi:type="dcterms:W3CDTF">2014-08-28T14:01:00Z</dcterms:modified>
</cp:coreProperties>
</file>